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D492D" w14:textId="5AB96B16" w:rsidR="006F1DE1" w:rsidRDefault="006F1DE1" w:rsidP="00BF244F">
      <w:pPr>
        <w:spacing w:before="100" w:beforeAutospacing="1" w:after="100" w:afterAutospacing="1" w:line="240" w:lineRule="auto"/>
        <w:jc w:val="center"/>
        <w:outlineLvl w:val="0"/>
        <w:rPr>
          <w:rFonts w:ascii="Arial" w:eastAsia="Times New Roman" w:hAnsi="Arial" w:cs="Arial"/>
          <w:b/>
          <w:bCs/>
          <w:color w:val="1B1B1C"/>
          <w:kern w:val="36"/>
          <w:sz w:val="24"/>
          <w:szCs w:val="24"/>
          <w:lang w:eastAsia="es-PE"/>
          <w14:ligatures w14:val="none"/>
        </w:rPr>
      </w:pPr>
      <w:r w:rsidRPr="006F1DE1">
        <w:rPr>
          <w:rFonts w:ascii="Arial" w:eastAsia="Times New Roman" w:hAnsi="Arial" w:cs="Arial"/>
          <w:b/>
          <w:bCs/>
          <w:color w:val="1B1B1C"/>
          <w:kern w:val="36"/>
          <w:sz w:val="24"/>
          <w:szCs w:val="24"/>
          <w:lang w:eastAsia="es-PE"/>
          <w14:ligatures w14:val="none"/>
        </w:rPr>
        <w:drawing>
          <wp:inline distT="0" distB="0" distL="0" distR="0" wp14:anchorId="13309A75" wp14:editId="5894ACE3">
            <wp:extent cx="1325994" cy="1325994"/>
            <wp:effectExtent l="0" t="0" r="7620" b="7620"/>
            <wp:docPr id="1024017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6138" cy="1336138"/>
                    </a:xfrm>
                    <a:prstGeom prst="rect">
                      <a:avLst/>
                    </a:prstGeom>
                    <a:noFill/>
                    <a:ln>
                      <a:noFill/>
                    </a:ln>
                  </pic:spPr>
                </pic:pic>
              </a:graphicData>
            </a:graphic>
          </wp:inline>
        </w:drawing>
      </w:r>
    </w:p>
    <w:p w14:paraId="3D819CC7" w14:textId="52145E95" w:rsidR="00BF244F" w:rsidRPr="00BF244F" w:rsidRDefault="00BF244F" w:rsidP="00BF244F">
      <w:pPr>
        <w:spacing w:before="100" w:beforeAutospacing="1" w:after="100" w:afterAutospacing="1" w:line="240" w:lineRule="auto"/>
        <w:jc w:val="center"/>
        <w:outlineLvl w:val="0"/>
        <w:rPr>
          <w:rFonts w:ascii="Arial" w:eastAsia="Times New Roman" w:hAnsi="Arial" w:cs="Arial"/>
          <w:b/>
          <w:bCs/>
          <w:color w:val="1B1B1C"/>
          <w:kern w:val="36"/>
          <w:sz w:val="24"/>
          <w:szCs w:val="24"/>
          <w:lang w:eastAsia="es-PE"/>
          <w14:ligatures w14:val="none"/>
        </w:rPr>
      </w:pPr>
      <w:r w:rsidRPr="00BF244F">
        <w:rPr>
          <w:rFonts w:ascii="Arial" w:eastAsia="Times New Roman" w:hAnsi="Arial" w:cs="Arial"/>
          <w:b/>
          <w:bCs/>
          <w:color w:val="1B1B1C"/>
          <w:kern w:val="36"/>
          <w:sz w:val="24"/>
          <w:szCs w:val="24"/>
          <w:lang w:eastAsia="es-PE"/>
          <w14:ligatures w14:val="none"/>
        </w:rPr>
        <w:t>FICHA DE ALERTA TEMPRANA (FAT) / ONG PROSPECTIVA</w:t>
      </w:r>
    </w:p>
    <w:p w14:paraId="30685BA8" w14:textId="0399BF40" w:rsidR="00BF244F" w:rsidRPr="00BF244F" w:rsidRDefault="00BF244F" w:rsidP="00BF244F">
      <w:pPr>
        <w:spacing w:before="100" w:beforeAutospacing="1" w:after="100" w:afterAutospacing="1" w:line="240" w:lineRule="auto"/>
        <w:jc w:val="center"/>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 xml:space="preserve">Centro de Pensamiento </w:t>
      </w:r>
      <w:r>
        <w:rPr>
          <w:rFonts w:ascii="Arial" w:eastAsia="Times New Roman" w:hAnsi="Arial" w:cs="Arial"/>
          <w:b/>
          <w:bCs/>
          <w:color w:val="303030"/>
          <w:kern w:val="0"/>
          <w:sz w:val="24"/>
          <w:szCs w:val="24"/>
          <w:lang w:eastAsia="es-PE"/>
          <w14:ligatures w14:val="none"/>
        </w:rPr>
        <w:t xml:space="preserve">Prospectivo </w:t>
      </w:r>
      <w:r w:rsidRPr="00BF244F">
        <w:rPr>
          <w:rFonts w:ascii="Arial" w:eastAsia="Times New Roman" w:hAnsi="Arial" w:cs="Arial"/>
          <w:b/>
          <w:bCs/>
          <w:color w:val="303030"/>
          <w:kern w:val="0"/>
          <w:sz w:val="24"/>
          <w:szCs w:val="24"/>
          <w:lang w:eastAsia="es-PE"/>
          <w14:ligatures w14:val="none"/>
        </w:rPr>
        <w:t>Estratégico para la Gobernabilidad y Seguridad Multidimensional</w:t>
      </w:r>
    </w:p>
    <w:p w14:paraId="2E90FBF2" w14:textId="77777777" w:rsidR="00BF244F" w:rsidRPr="00BF244F" w:rsidRDefault="00BF244F" w:rsidP="00BF244F">
      <w:pPr>
        <w:spacing w:after="0" w:line="240" w:lineRule="auto"/>
        <w:jc w:val="center"/>
        <w:rPr>
          <w:rFonts w:ascii="Arial" w:eastAsia="Times New Roman" w:hAnsi="Arial" w:cs="Arial"/>
          <w:color w:val="303030"/>
          <w:kern w:val="0"/>
          <w:sz w:val="24"/>
          <w:szCs w:val="24"/>
          <w:lang w:eastAsia="es-PE"/>
          <w14:ligatures w14:val="none"/>
        </w:rPr>
      </w:pPr>
      <w:r w:rsidRPr="00BF244F">
        <w:rPr>
          <w:rFonts w:ascii="Arial" w:eastAsia="Times New Roman" w:hAnsi="Arial" w:cs="Arial"/>
          <w:color w:val="303030"/>
          <w:kern w:val="0"/>
          <w:sz w:val="24"/>
          <w:szCs w:val="24"/>
          <w:lang w:eastAsia="es-PE"/>
          <w14:ligatures w14:val="none"/>
        </w:rPr>
        <w:pict w14:anchorId="01EED4BD">
          <v:rect id="_x0000_i1025" style="width:0;height:1.5pt" o:hralign="center" o:hrstd="t" o:hr="t" fillcolor="#a0a0a0" stroked="f"/>
        </w:pict>
      </w:r>
    </w:p>
    <w:p w14:paraId="0B1E4A6F" w14:textId="6F4F7038" w:rsidR="00BF244F" w:rsidRPr="00BF244F" w:rsidRDefault="00BF244F" w:rsidP="00BF244F">
      <w:pPr>
        <w:spacing w:before="100" w:beforeAutospacing="1" w:after="100" w:afterAutospacing="1" w:line="240" w:lineRule="auto"/>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CÓDIGO DE ALERTA:</w:t>
      </w:r>
      <w:r w:rsidRPr="00BF244F">
        <w:rPr>
          <w:rFonts w:ascii="Arial" w:eastAsia="Times New Roman" w:hAnsi="Arial" w:cs="Arial"/>
          <w:color w:val="303030"/>
          <w:kern w:val="0"/>
          <w:sz w:val="24"/>
          <w:szCs w:val="24"/>
          <w:lang w:eastAsia="es-PE"/>
          <w14:ligatures w14:val="none"/>
        </w:rPr>
        <w:t> FAT-2026-CC-002</w:t>
      </w:r>
      <w:r w:rsidRPr="00BF244F">
        <w:rPr>
          <w:rFonts w:ascii="Arial" w:eastAsia="Times New Roman" w:hAnsi="Arial" w:cs="Arial"/>
          <w:color w:val="303030"/>
          <w:kern w:val="0"/>
          <w:sz w:val="24"/>
          <w:szCs w:val="24"/>
          <w:lang w:eastAsia="es-PE"/>
          <w14:ligatures w14:val="none"/>
        </w:rPr>
        <w:br/>
      </w:r>
      <w:r w:rsidRPr="00BF244F">
        <w:rPr>
          <w:rFonts w:ascii="Arial" w:eastAsia="Times New Roman" w:hAnsi="Arial" w:cs="Arial"/>
          <w:b/>
          <w:bCs/>
          <w:color w:val="303030"/>
          <w:kern w:val="0"/>
          <w:sz w:val="24"/>
          <w:szCs w:val="24"/>
          <w:lang w:eastAsia="es-PE"/>
          <w14:ligatures w14:val="none"/>
        </w:rPr>
        <w:t>FECHA DE EMISIÓN:</w:t>
      </w:r>
      <w:r w:rsidRPr="00BF244F">
        <w:rPr>
          <w:rFonts w:ascii="Arial" w:eastAsia="Times New Roman" w:hAnsi="Arial" w:cs="Arial"/>
          <w:color w:val="303030"/>
          <w:kern w:val="0"/>
          <w:sz w:val="24"/>
          <w:szCs w:val="24"/>
          <w:lang w:eastAsia="es-PE"/>
          <w14:ligatures w14:val="none"/>
        </w:rPr>
        <w:t> 3 de setiembre de 2026</w:t>
      </w:r>
      <w:r w:rsidRPr="00BF244F">
        <w:rPr>
          <w:rFonts w:ascii="Arial" w:eastAsia="Times New Roman" w:hAnsi="Arial" w:cs="Arial"/>
          <w:color w:val="303030"/>
          <w:kern w:val="0"/>
          <w:sz w:val="24"/>
          <w:szCs w:val="24"/>
          <w:lang w:eastAsia="es-PE"/>
          <w14:ligatures w14:val="none"/>
        </w:rPr>
        <w:br/>
      </w:r>
      <w:r w:rsidRPr="00BF244F">
        <w:rPr>
          <w:rFonts w:ascii="Arial" w:eastAsia="Times New Roman" w:hAnsi="Arial" w:cs="Arial"/>
          <w:b/>
          <w:bCs/>
          <w:color w:val="303030"/>
          <w:kern w:val="0"/>
          <w:sz w:val="24"/>
          <w:szCs w:val="24"/>
          <w:lang w:eastAsia="es-PE"/>
          <w14:ligatures w14:val="none"/>
        </w:rPr>
        <w:t>LÍNEA DE ESTUDIO:</w:t>
      </w:r>
      <w:r w:rsidRPr="00BF244F">
        <w:rPr>
          <w:rFonts w:ascii="Arial" w:eastAsia="Times New Roman" w:hAnsi="Arial" w:cs="Arial"/>
          <w:color w:val="303030"/>
          <w:kern w:val="0"/>
          <w:sz w:val="24"/>
          <w:szCs w:val="24"/>
          <w:lang w:eastAsia="es-PE"/>
          <w14:ligatures w14:val="none"/>
        </w:rPr>
        <w:t> Convergencia Criminal y Economías Ilícitas Transnacionales / Delitos Complejos y Violencia de Alto Impacto</w:t>
      </w:r>
      <w:r w:rsidRPr="00BF244F">
        <w:rPr>
          <w:rFonts w:ascii="Arial" w:eastAsia="Times New Roman" w:hAnsi="Arial" w:cs="Arial"/>
          <w:color w:val="303030"/>
          <w:kern w:val="0"/>
          <w:sz w:val="24"/>
          <w:szCs w:val="24"/>
          <w:lang w:eastAsia="es-PE"/>
          <w14:ligatures w14:val="none"/>
        </w:rPr>
        <w:br/>
      </w:r>
      <w:r>
        <w:rPr>
          <w:rFonts w:ascii="Arial" w:eastAsia="Times New Roman" w:hAnsi="Arial" w:cs="Arial"/>
          <w:b/>
          <w:bCs/>
          <w:color w:val="303030"/>
          <w:kern w:val="0"/>
          <w:sz w:val="24"/>
          <w:szCs w:val="24"/>
          <w:lang w:eastAsia="es-PE"/>
          <w14:ligatures w14:val="none"/>
        </w:rPr>
        <w:t xml:space="preserve">EQUIPO </w:t>
      </w:r>
      <w:proofErr w:type="gramStart"/>
      <w:r w:rsidRPr="00BF244F">
        <w:rPr>
          <w:rFonts w:ascii="Arial" w:eastAsia="Times New Roman" w:hAnsi="Arial" w:cs="Arial"/>
          <w:b/>
          <w:bCs/>
          <w:color w:val="303030"/>
          <w:kern w:val="0"/>
          <w:sz w:val="24"/>
          <w:szCs w:val="24"/>
          <w:lang w:eastAsia="es-PE"/>
          <w14:ligatures w14:val="none"/>
        </w:rPr>
        <w:t>ANALISTA :</w:t>
      </w:r>
      <w:proofErr w:type="gramEnd"/>
      <w:r w:rsidRPr="00BF244F">
        <w:rPr>
          <w:rFonts w:ascii="Arial" w:eastAsia="Times New Roman" w:hAnsi="Arial" w:cs="Arial"/>
          <w:color w:val="303030"/>
          <w:kern w:val="0"/>
          <w:sz w:val="24"/>
          <w:szCs w:val="24"/>
          <w:lang w:eastAsia="es-PE"/>
          <w14:ligatures w14:val="none"/>
        </w:rPr>
        <w:t> Generado para la Mesa Técnica de la ONG PROSPECTIVA</w:t>
      </w:r>
      <w:r w:rsidRPr="00BF244F">
        <w:rPr>
          <w:rFonts w:ascii="Arial" w:eastAsia="Times New Roman" w:hAnsi="Arial" w:cs="Arial"/>
          <w:color w:val="303030"/>
          <w:kern w:val="0"/>
          <w:sz w:val="24"/>
          <w:szCs w:val="24"/>
          <w:lang w:eastAsia="es-PE"/>
          <w14:ligatures w14:val="none"/>
        </w:rPr>
        <w:br/>
      </w:r>
      <w:r w:rsidRPr="00BF244F">
        <w:rPr>
          <w:rFonts w:ascii="Arial" w:eastAsia="Times New Roman" w:hAnsi="Arial" w:cs="Arial"/>
          <w:b/>
          <w:bCs/>
          <w:color w:val="303030"/>
          <w:kern w:val="0"/>
          <w:sz w:val="24"/>
          <w:szCs w:val="24"/>
          <w:lang w:eastAsia="es-PE"/>
          <w14:ligatures w14:val="none"/>
        </w:rPr>
        <w:t>NIVEL DE RIESGO:</w:t>
      </w:r>
      <w:r w:rsidRPr="00BF244F">
        <w:rPr>
          <w:rFonts w:ascii="Arial" w:eastAsia="Times New Roman" w:hAnsi="Arial" w:cs="Arial"/>
          <w:color w:val="303030"/>
          <w:kern w:val="0"/>
          <w:sz w:val="24"/>
          <w:szCs w:val="24"/>
          <w:lang w:eastAsia="es-PE"/>
          <w14:ligatures w14:val="none"/>
        </w:rPr>
        <w:t> </w:t>
      </w:r>
      <w:r w:rsidRPr="00BF244F">
        <w:rPr>
          <w:rFonts w:ascii="Segoe UI Emoji" w:eastAsia="Times New Roman" w:hAnsi="Segoe UI Emoji" w:cs="Segoe UI Emoji"/>
          <w:color w:val="303030"/>
          <w:kern w:val="0"/>
          <w:sz w:val="24"/>
          <w:szCs w:val="24"/>
          <w:lang w:eastAsia="es-PE"/>
          <w14:ligatures w14:val="none"/>
        </w:rPr>
        <w:t>🔴</w:t>
      </w:r>
      <w:r w:rsidRPr="00BF244F">
        <w:rPr>
          <w:rFonts w:ascii="Arial" w:eastAsia="Times New Roman" w:hAnsi="Arial" w:cs="Arial"/>
          <w:color w:val="303030"/>
          <w:kern w:val="0"/>
          <w:sz w:val="24"/>
          <w:szCs w:val="24"/>
          <w:lang w:eastAsia="es-PE"/>
          <w14:ligatures w14:val="none"/>
        </w:rPr>
        <w:t> </w:t>
      </w:r>
      <w:r w:rsidRPr="00BF244F">
        <w:rPr>
          <w:rFonts w:ascii="Arial" w:eastAsia="Times New Roman" w:hAnsi="Arial" w:cs="Arial"/>
          <w:b/>
          <w:bCs/>
          <w:color w:val="303030"/>
          <w:kern w:val="0"/>
          <w:sz w:val="24"/>
          <w:szCs w:val="24"/>
          <w:lang w:eastAsia="es-PE"/>
          <w14:ligatures w14:val="none"/>
        </w:rPr>
        <w:t>CRÍTICO / EXTREMO</w:t>
      </w:r>
    </w:p>
    <w:p w14:paraId="1DC17ACD" w14:textId="73C2186D" w:rsidR="00BF244F" w:rsidRPr="00BF244F" w:rsidRDefault="00BF244F" w:rsidP="00BF244F">
      <w:pPr>
        <w:spacing w:after="0" w:line="240" w:lineRule="auto"/>
        <w:rPr>
          <w:rFonts w:ascii="Arial" w:eastAsia="Times New Roman" w:hAnsi="Arial" w:cs="Arial"/>
          <w:color w:val="303030"/>
          <w:kern w:val="0"/>
          <w:sz w:val="24"/>
          <w:szCs w:val="24"/>
          <w:lang w:eastAsia="es-PE"/>
          <w14:ligatures w14:val="none"/>
        </w:rPr>
      </w:pPr>
      <w:r w:rsidRPr="00BF244F">
        <w:rPr>
          <w:rFonts w:ascii="Arial" w:eastAsia="Times New Roman" w:hAnsi="Arial" w:cs="Arial"/>
          <w:color w:val="303030"/>
          <w:kern w:val="0"/>
          <w:sz w:val="24"/>
          <w:szCs w:val="24"/>
          <w:lang w:eastAsia="es-PE"/>
          <w14:ligatures w14:val="none"/>
        </w:rPr>
        <w:pict w14:anchorId="4263F575">
          <v:rect id="_x0000_i1026" style="width:0;height:1.5pt" o:hralign="center" o:hrstd="t" o:hr="t" fillcolor="#a0a0a0" stroked="f"/>
        </w:pict>
      </w:r>
    </w:p>
    <w:p w14:paraId="2290CD16" w14:textId="77777777" w:rsidR="00BF244F" w:rsidRPr="00BF244F" w:rsidRDefault="00BF244F" w:rsidP="00BF244F">
      <w:p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MUTACIÓN DE LA VIOLENCIA INSTRUMENTAL Y LA INDUSTRIALIZACIÓN DE LA EXTORSIÓN EN EL PERÚ: CONVERGENCIA ENTRE LA MINERÍA ILÍCITA, EL CONTROL PENITENCIARIO Y LA PROPUESTA DE REDEFINICIÓN DE "GRUPOS HOSTILES AL ESTADO"</w:t>
      </w:r>
    </w:p>
    <w:p w14:paraId="28188AD4" w14:textId="77777777" w:rsidR="00BF244F" w:rsidRPr="00BF244F" w:rsidRDefault="00BF244F" w:rsidP="00BF244F">
      <w:pPr>
        <w:spacing w:after="0" w:line="240" w:lineRule="auto"/>
        <w:rPr>
          <w:rFonts w:ascii="Arial" w:eastAsia="Times New Roman" w:hAnsi="Arial" w:cs="Arial"/>
          <w:color w:val="303030"/>
          <w:kern w:val="0"/>
          <w:sz w:val="24"/>
          <w:szCs w:val="24"/>
          <w:lang w:eastAsia="es-PE"/>
          <w14:ligatures w14:val="none"/>
        </w:rPr>
      </w:pPr>
      <w:r w:rsidRPr="00BF244F">
        <w:rPr>
          <w:rFonts w:ascii="Arial" w:eastAsia="Times New Roman" w:hAnsi="Arial" w:cs="Arial"/>
          <w:color w:val="303030"/>
          <w:kern w:val="0"/>
          <w:sz w:val="24"/>
          <w:szCs w:val="24"/>
          <w:lang w:eastAsia="es-PE"/>
          <w14:ligatures w14:val="none"/>
        </w:rPr>
        <w:pict w14:anchorId="0FCC5616">
          <v:rect id="_x0000_i1027" style="width:0;height:1.5pt" o:hralign="center" o:hrstd="t" o:hr="t" fillcolor="#a0a0a0" stroked="f"/>
        </w:pict>
      </w:r>
    </w:p>
    <w:p w14:paraId="5092A594" w14:textId="20C38818" w:rsidR="00BF244F" w:rsidRPr="00BF244F" w:rsidRDefault="00BF244F" w:rsidP="00BF244F">
      <w:pPr>
        <w:spacing w:before="100" w:beforeAutospacing="1" w:after="100" w:afterAutospacing="1" w:line="240" w:lineRule="auto"/>
        <w:outlineLvl w:val="2"/>
        <w:rPr>
          <w:rFonts w:ascii="Arial" w:eastAsia="Times New Roman" w:hAnsi="Arial" w:cs="Arial"/>
          <w:b/>
          <w:bCs/>
          <w:color w:val="1B1B1C"/>
          <w:kern w:val="0"/>
          <w:sz w:val="24"/>
          <w:szCs w:val="24"/>
          <w:lang w:eastAsia="es-PE"/>
          <w14:ligatures w14:val="none"/>
        </w:rPr>
      </w:pPr>
      <w:r w:rsidRPr="00BF244F">
        <w:rPr>
          <w:rFonts w:ascii="Arial" w:eastAsia="Times New Roman" w:hAnsi="Arial" w:cs="Arial"/>
          <w:b/>
          <w:bCs/>
          <w:color w:val="1B1B1C"/>
          <w:kern w:val="0"/>
          <w:sz w:val="24"/>
          <w:szCs w:val="24"/>
          <w:lang w:eastAsia="es-PE"/>
          <w14:ligatures w14:val="none"/>
        </w:rPr>
        <w:t>I. CARACTERIZACIÓN DEL RIESGO SISTÉMICO (EL "QUÉ")</w:t>
      </w:r>
    </w:p>
    <w:p w14:paraId="0EDD49C5" w14:textId="77777777" w:rsidR="00BF244F" w:rsidRDefault="00BF244F" w:rsidP="00BF244F">
      <w:pPr>
        <w:numPr>
          <w:ilvl w:val="0"/>
          <w:numId w:val="1"/>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Fenómeno / Vector de Riesgo:</w:t>
      </w:r>
      <w:r w:rsidRPr="00BF244F">
        <w:rPr>
          <w:rFonts w:ascii="Arial" w:eastAsia="Times New Roman" w:hAnsi="Arial" w:cs="Arial"/>
          <w:color w:val="303030"/>
          <w:kern w:val="0"/>
          <w:sz w:val="24"/>
          <w:szCs w:val="24"/>
          <w:lang w:eastAsia="es-PE"/>
          <w14:ligatures w14:val="none"/>
        </w:rPr>
        <w:t> Convergencia de economías extractivas ilícitas (minería aurífera ilegal), operaciones de secuestro instrumental mediante la imitación de técnicas operativas del Estado, extorsión carcelaria con ramificaciones internacionales, y la propuesta gubernamental de redefinir organizaciones delictivas como "grupos hostiles al Estado" para permitir la intervención militar urbana.</w:t>
      </w:r>
      <w:r>
        <w:rPr>
          <w:rFonts w:ascii="Arial" w:eastAsia="Times New Roman" w:hAnsi="Arial" w:cs="Arial"/>
          <w:color w:val="303030"/>
          <w:kern w:val="0"/>
          <w:sz w:val="24"/>
          <w:szCs w:val="24"/>
          <w:lang w:eastAsia="es-PE"/>
          <w14:ligatures w14:val="none"/>
        </w:rPr>
        <w:tab/>
      </w:r>
      <w:r>
        <w:rPr>
          <w:rFonts w:ascii="Arial" w:eastAsia="Times New Roman" w:hAnsi="Arial" w:cs="Arial"/>
          <w:color w:val="303030"/>
          <w:kern w:val="0"/>
          <w:sz w:val="24"/>
          <w:szCs w:val="24"/>
          <w:lang w:eastAsia="es-PE"/>
          <w14:ligatures w14:val="none"/>
        </w:rPr>
        <w:tab/>
      </w:r>
      <w:r>
        <w:rPr>
          <w:rFonts w:ascii="Arial" w:eastAsia="Times New Roman" w:hAnsi="Arial" w:cs="Arial"/>
          <w:color w:val="303030"/>
          <w:kern w:val="0"/>
          <w:sz w:val="24"/>
          <w:szCs w:val="24"/>
          <w:lang w:eastAsia="es-PE"/>
          <w14:ligatures w14:val="none"/>
        </w:rPr>
        <w:tab/>
      </w:r>
    </w:p>
    <w:p w14:paraId="136EAD29" w14:textId="182998F2" w:rsidR="00BF244F" w:rsidRPr="00BF244F" w:rsidRDefault="00BF244F" w:rsidP="00BF244F">
      <w:pPr>
        <w:numPr>
          <w:ilvl w:val="0"/>
          <w:numId w:val="1"/>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Ámbito Territorial (GEOINT):</w:t>
      </w:r>
      <w:r w:rsidRPr="00BF244F">
        <w:rPr>
          <w:rFonts w:ascii="Arial" w:eastAsia="Times New Roman" w:hAnsi="Arial" w:cs="Arial"/>
          <w:color w:val="303030"/>
          <w:kern w:val="0"/>
          <w:sz w:val="24"/>
          <w:szCs w:val="24"/>
          <w:lang w:eastAsia="es-PE"/>
          <w14:ligatures w14:val="none"/>
        </w:rPr>
        <w:t> Corredores económicos y urbanos de la costa norte y andina (específicamente la provincia de Pataz y la provincia de Trujillo en la región La Libertad, y Lima Metropolitana), con ramificaciones transnacionales de mando (Chile) y nodos penitenciarios clave (Establecimiento Penitenciario El Milagro en Trujillo).</w:t>
      </w:r>
      <w:r w:rsidRPr="00BF244F">
        <w:rPr>
          <w:rFonts w:ascii="Arial" w:eastAsia="Times New Roman" w:hAnsi="Arial" w:cs="Arial"/>
          <w:color w:val="303030"/>
          <w:kern w:val="0"/>
          <w:sz w:val="24"/>
          <w:szCs w:val="24"/>
          <w:lang w:eastAsia="es-PE"/>
          <w14:ligatures w14:val="none"/>
        </w:rPr>
        <w:tab/>
      </w:r>
      <w:r w:rsidRPr="00BF244F">
        <w:rPr>
          <w:rFonts w:ascii="Arial" w:eastAsia="Times New Roman" w:hAnsi="Arial" w:cs="Arial"/>
          <w:color w:val="303030"/>
          <w:kern w:val="0"/>
          <w:sz w:val="24"/>
          <w:szCs w:val="24"/>
          <w:lang w:eastAsia="es-PE"/>
          <w14:ligatures w14:val="none"/>
        </w:rPr>
        <w:tab/>
      </w:r>
      <w:r w:rsidRPr="00BF244F">
        <w:rPr>
          <w:rFonts w:ascii="Arial" w:eastAsia="Times New Roman" w:hAnsi="Arial" w:cs="Arial"/>
          <w:color w:val="303030"/>
          <w:kern w:val="0"/>
          <w:sz w:val="24"/>
          <w:szCs w:val="24"/>
          <w:lang w:eastAsia="es-PE"/>
          <w14:ligatures w14:val="none"/>
        </w:rPr>
        <w:tab/>
      </w:r>
      <w:r w:rsidRPr="00BF244F">
        <w:rPr>
          <w:rFonts w:ascii="Arial" w:eastAsia="Times New Roman" w:hAnsi="Arial" w:cs="Arial"/>
          <w:color w:val="303030"/>
          <w:kern w:val="0"/>
          <w:sz w:val="24"/>
          <w:szCs w:val="24"/>
          <w:lang w:eastAsia="es-PE"/>
          <w14:ligatures w14:val="none"/>
        </w:rPr>
        <w:tab/>
      </w:r>
    </w:p>
    <w:p w14:paraId="17B50E13" w14:textId="2484BDB6" w:rsidR="00BF244F" w:rsidRPr="00BF244F" w:rsidRDefault="00BF244F" w:rsidP="00BF244F">
      <w:pPr>
        <w:numPr>
          <w:ilvl w:val="0"/>
          <w:numId w:val="1"/>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Alineamiento con el PEDN al 2050:</w:t>
      </w:r>
      <w:r w:rsidRPr="00BF244F">
        <w:rPr>
          <w:rFonts w:ascii="Arial" w:eastAsia="Times New Roman" w:hAnsi="Arial" w:cs="Arial"/>
          <w:color w:val="303030"/>
          <w:kern w:val="0"/>
          <w:sz w:val="24"/>
          <w:szCs w:val="24"/>
          <w:lang w:eastAsia="es-PE"/>
          <w14:ligatures w14:val="none"/>
        </w:rPr>
        <w:t xml:space="preserve"> Objetivo Nacional 4 ("Garantizar una sociedad justa, democrática, pacífica y un Estado efectivo al servicio de </w:t>
      </w:r>
      <w:r w:rsidRPr="00BF244F">
        <w:rPr>
          <w:rFonts w:ascii="Arial" w:eastAsia="Times New Roman" w:hAnsi="Arial" w:cs="Arial"/>
          <w:color w:val="303030"/>
          <w:kern w:val="0"/>
          <w:sz w:val="24"/>
          <w:szCs w:val="24"/>
          <w:lang w:eastAsia="es-PE"/>
          <w14:ligatures w14:val="none"/>
        </w:rPr>
        <w:lastRenderedPageBreak/>
        <w:t>las personas...") y Acción Estratégica (AE) 4.4.4 ("Garantizar la resiliencia institucional y territorial, disminuyendo los niveles de vulnerabilidad del Estado y de las comunidades frente a la delincuencia compleja, crimen organizado transnacional y economías ilícitas").</w:t>
      </w:r>
    </w:p>
    <w:p w14:paraId="17E9A42E" w14:textId="77777777" w:rsidR="00BF244F" w:rsidRDefault="00BF244F" w:rsidP="00BF244F">
      <w:pPr>
        <w:spacing w:after="0" w:line="240" w:lineRule="auto"/>
        <w:rPr>
          <w:rFonts w:ascii="Arial" w:eastAsia="Times New Roman" w:hAnsi="Arial" w:cs="Arial"/>
          <w:color w:val="303030"/>
          <w:kern w:val="0"/>
          <w:sz w:val="24"/>
          <w:szCs w:val="24"/>
          <w:lang w:eastAsia="es-PE"/>
          <w14:ligatures w14:val="none"/>
        </w:rPr>
      </w:pPr>
      <w:r w:rsidRPr="00BF244F">
        <w:rPr>
          <w:rFonts w:ascii="Arial" w:eastAsia="Times New Roman" w:hAnsi="Arial" w:cs="Arial"/>
          <w:color w:val="303030"/>
          <w:kern w:val="0"/>
          <w:sz w:val="24"/>
          <w:szCs w:val="24"/>
          <w:lang w:eastAsia="es-PE"/>
          <w14:ligatures w14:val="none"/>
        </w:rPr>
        <w:pict w14:anchorId="2D0F4689">
          <v:rect id="_x0000_i1028" style="width:0;height:1.5pt" o:hralign="center" o:hrstd="t" o:hr="t" fillcolor="#a0a0a0" stroked="f"/>
        </w:pict>
      </w:r>
    </w:p>
    <w:p w14:paraId="71A5DC10" w14:textId="77777777" w:rsidR="00521009" w:rsidRDefault="00521009" w:rsidP="00BF244F">
      <w:pPr>
        <w:spacing w:after="0" w:line="240" w:lineRule="auto"/>
        <w:rPr>
          <w:rFonts w:ascii="Arial" w:eastAsia="Times New Roman" w:hAnsi="Arial" w:cs="Arial"/>
          <w:color w:val="303030"/>
          <w:kern w:val="0"/>
          <w:sz w:val="24"/>
          <w:szCs w:val="24"/>
          <w:lang w:eastAsia="es-PE"/>
          <w14:ligatures w14:val="none"/>
        </w:rPr>
      </w:pPr>
    </w:p>
    <w:p w14:paraId="079261B1" w14:textId="77777777" w:rsidR="00521009" w:rsidRPr="00BF244F" w:rsidRDefault="00521009" w:rsidP="00BF244F">
      <w:pPr>
        <w:spacing w:after="0" w:line="240" w:lineRule="auto"/>
        <w:rPr>
          <w:rFonts w:ascii="Arial" w:eastAsia="Times New Roman" w:hAnsi="Arial" w:cs="Arial"/>
          <w:color w:val="303030"/>
          <w:kern w:val="0"/>
          <w:sz w:val="24"/>
          <w:szCs w:val="24"/>
          <w:lang w:eastAsia="es-PE"/>
          <w14:ligatures w14:val="none"/>
        </w:rPr>
      </w:pPr>
    </w:p>
    <w:p w14:paraId="794C31CE" w14:textId="77777777" w:rsidR="00BF244F" w:rsidRPr="00BF244F" w:rsidRDefault="00BF244F" w:rsidP="00BF244F">
      <w:pPr>
        <w:spacing w:before="100" w:beforeAutospacing="1" w:after="100" w:afterAutospacing="1" w:line="240" w:lineRule="auto"/>
        <w:outlineLvl w:val="2"/>
        <w:rPr>
          <w:rFonts w:ascii="Arial" w:eastAsia="Times New Roman" w:hAnsi="Arial" w:cs="Arial"/>
          <w:b/>
          <w:bCs/>
          <w:color w:val="1B1B1C"/>
          <w:kern w:val="0"/>
          <w:sz w:val="24"/>
          <w:szCs w:val="24"/>
          <w:lang w:eastAsia="es-PE"/>
          <w14:ligatures w14:val="none"/>
        </w:rPr>
      </w:pPr>
      <w:r w:rsidRPr="00BF244F">
        <w:rPr>
          <w:rFonts w:ascii="Arial" w:eastAsia="Times New Roman" w:hAnsi="Arial" w:cs="Arial"/>
          <w:b/>
          <w:bCs/>
          <w:color w:val="1B1B1C"/>
          <w:kern w:val="0"/>
          <w:sz w:val="24"/>
          <w:szCs w:val="24"/>
          <w:lang w:eastAsia="es-PE"/>
          <w14:ligatures w14:val="none"/>
        </w:rPr>
        <w:t>II. EVIDENCIA EMPÍRICA Y MAPEO DE DATOS (EL "CÓMO")</w:t>
      </w:r>
    </w:p>
    <w:p w14:paraId="7B1F9568" w14:textId="77777777" w:rsidR="00BF244F" w:rsidRPr="00BF244F" w:rsidRDefault="00BF244F" w:rsidP="00BF244F">
      <w:pPr>
        <w:spacing w:before="100" w:beforeAutospacing="1" w:after="100" w:afterAutospacing="1" w:line="300" w:lineRule="atLeast"/>
        <w:outlineLvl w:val="3"/>
        <w:rPr>
          <w:rFonts w:ascii="Arial" w:eastAsia="Times New Roman" w:hAnsi="Arial" w:cs="Arial"/>
          <w:color w:val="1B1B1C"/>
          <w:kern w:val="0"/>
          <w:sz w:val="24"/>
          <w:szCs w:val="24"/>
          <w:lang w:eastAsia="es-PE"/>
          <w14:ligatures w14:val="none"/>
        </w:rPr>
      </w:pPr>
      <w:r w:rsidRPr="00BF244F">
        <w:rPr>
          <w:rFonts w:ascii="Arial" w:eastAsia="Times New Roman" w:hAnsi="Arial" w:cs="Arial"/>
          <w:color w:val="1B1B1C"/>
          <w:kern w:val="0"/>
          <w:sz w:val="24"/>
          <w:szCs w:val="24"/>
          <w:lang w:eastAsia="es-PE"/>
          <w14:ligatures w14:val="none"/>
        </w:rPr>
        <w:t>1. Análisis de Fuentes Abiertas (OSINT) e incidentes críticos de la ventana de monitoreo (al 3 de setiembre de 2026):</w:t>
      </w:r>
    </w:p>
    <w:p w14:paraId="2E20B0D0" w14:textId="275BF595" w:rsidR="00521009" w:rsidRPr="00BF244F" w:rsidRDefault="00BF244F" w:rsidP="00521009">
      <w:pPr>
        <w:numPr>
          <w:ilvl w:val="0"/>
          <w:numId w:val="2"/>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Evolución del Secuestro Táctico en Trujillo:</w:t>
      </w:r>
      <w:r w:rsidRPr="00BF244F">
        <w:rPr>
          <w:rFonts w:ascii="Arial" w:eastAsia="Times New Roman" w:hAnsi="Arial" w:cs="Arial"/>
          <w:color w:val="303030"/>
          <w:kern w:val="0"/>
          <w:sz w:val="24"/>
          <w:szCs w:val="24"/>
          <w:lang w:eastAsia="es-PE"/>
          <w14:ligatures w14:val="none"/>
        </w:rPr>
        <w:t> El secuestro del empresario minero Jenss Marty Lara Tantaquilla (vinculado a la cadena del oro en Pataz) el 30 de agosto de 2026 evidenció un salto táctico de organizaciones como "Los Pulpos". Los ejecutores utilizaron indumentaria policial para simular un operativo táctico de la unidad GRECCO-PNP, asesinando a cuatro de sus acompañantes. El empresario fue liberado el 31 de agosto cerca de la vía a Huanchaco. El 2 de setiembre de 2026 se registró una inconsistencia probatoria de relevancia (brecha de datos): el padre de la víctima, Eleuterio Lara López, declaró que su hijo no reconoció a los cinco detenidos presentados por las fuerzas de seguridad ni sus voces como las de sus captores, lo cual coincide con la cautela expresada previamente por el fiscal superior Jorge Chávez Cotrina, quien precisó que aún no existían elementos de convicción suficientes para atribuir de manera categórica el hecho a los detenidos.</w:t>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p>
    <w:p w14:paraId="5A1DF7B1" w14:textId="56EF2BA6" w:rsidR="00BF244F" w:rsidRPr="00BF244F" w:rsidRDefault="00BF244F" w:rsidP="00521009">
      <w:pPr>
        <w:numPr>
          <w:ilvl w:val="0"/>
          <w:numId w:val="2"/>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Prisiones como Nodos de Comando y Control (C2):</w:t>
      </w:r>
      <w:r w:rsidRPr="00BF244F">
        <w:rPr>
          <w:rFonts w:ascii="Arial" w:eastAsia="Times New Roman" w:hAnsi="Arial" w:cs="Arial"/>
          <w:color w:val="303030"/>
          <w:kern w:val="0"/>
          <w:sz w:val="24"/>
          <w:szCs w:val="24"/>
          <w:lang w:eastAsia="es-PE"/>
          <w14:ligatures w14:val="none"/>
        </w:rPr>
        <w:t> Las investigaciones de la Policía Nacional (</w:t>
      </w:r>
      <w:proofErr w:type="spellStart"/>
      <w:r w:rsidRPr="00BF244F">
        <w:rPr>
          <w:rFonts w:ascii="Arial" w:eastAsia="Times New Roman" w:hAnsi="Arial" w:cs="Arial"/>
          <w:color w:val="303030"/>
          <w:kern w:val="0"/>
          <w:sz w:val="24"/>
          <w:szCs w:val="24"/>
          <w:lang w:eastAsia="es-PE"/>
          <w14:ligatures w14:val="none"/>
        </w:rPr>
        <w:t>Dirincri</w:t>
      </w:r>
      <w:proofErr w:type="spellEnd"/>
      <w:r w:rsidRPr="00BF244F">
        <w:rPr>
          <w:rFonts w:ascii="Arial" w:eastAsia="Times New Roman" w:hAnsi="Arial" w:cs="Arial"/>
          <w:color w:val="303030"/>
          <w:kern w:val="0"/>
          <w:sz w:val="24"/>
          <w:szCs w:val="24"/>
          <w:lang w:eastAsia="es-PE"/>
          <w14:ligatures w14:val="none"/>
        </w:rPr>
        <w:t xml:space="preserve">) determinaron que la planificación y la orden de ejecución del secuestro del empresario Jenss Lara salieron desde el interior de un establecimiento penitenciario del norte del país (Penal El Milagro), revelando la existencia de canales de comunicación ilícitos activos con operadores en Trujillo y Chile. Esto se asocia con el cobro sistemático de cupos extorsivos coordinado </w:t>
      </w:r>
      <w:proofErr w:type="spellStart"/>
      <w:r w:rsidRPr="00BF244F">
        <w:rPr>
          <w:rFonts w:ascii="Arial" w:eastAsia="Times New Roman" w:hAnsi="Arial" w:cs="Arial"/>
          <w:color w:val="303030"/>
          <w:kern w:val="0"/>
          <w:sz w:val="24"/>
          <w:szCs w:val="24"/>
          <w:lang w:eastAsia="es-PE"/>
          <w14:ligatures w14:val="none"/>
        </w:rPr>
        <w:t>intra-muros</w:t>
      </w:r>
      <w:proofErr w:type="spellEnd"/>
      <w:r w:rsidRPr="00BF244F">
        <w:rPr>
          <w:rFonts w:ascii="Arial" w:eastAsia="Times New Roman" w:hAnsi="Arial" w:cs="Arial"/>
          <w:color w:val="303030"/>
          <w:kern w:val="0"/>
          <w:sz w:val="24"/>
          <w:szCs w:val="24"/>
          <w:lang w:eastAsia="es-PE"/>
          <w14:ligatures w14:val="none"/>
        </w:rPr>
        <w:t xml:space="preserve"> contra transportistas (por montos de S/ 50,000 requeridos por organizaciones carcelarias en Trujillo).</w:t>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p>
    <w:p w14:paraId="4AB41452" w14:textId="62230CD0" w:rsidR="00BF244F" w:rsidRPr="00BF244F" w:rsidRDefault="00BF244F" w:rsidP="00521009">
      <w:pPr>
        <w:numPr>
          <w:ilvl w:val="0"/>
          <w:numId w:val="2"/>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Industrialización de la Extorsión Urbana:</w:t>
      </w:r>
      <w:r w:rsidRPr="00BF244F">
        <w:rPr>
          <w:rFonts w:ascii="Arial" w:eastAsia="Times New Roman" w:hAnsi="Arial" w:cs="Arial"/>
          <w:color w:val="303030"/>
          <w:kern w:val="0"/>
          <w:sz w:val="24"/>
          <w:szCs w:val="24"/>
          <w:lang w:eastAsia="es-PE"/>
          <w14:ligatures w14:val="none"/>
        </w:rPr>
        <w:t xml:space="preserve"> El Ministerio Público reportó una consolidación estadística de la extorsión de 13,892 denuncias fiscales registradas a nivel nacional entre enero y julio de 2026, concentradas drásticamente en Lima (5,635 casos, con focos en Lima Este y Lima Sur) y Trujillo (1,625 denuncias). El impacto letal de esta economía ilícita se evidenció el 1 de setiembre de 2026 con el asesinato por proyectil de arma de fuego del conductor de mototaxi Martín Herrera La Rivas en Barrios Altos (Lima Metropolitana) bajo la hipótesis preliminar de cobro de cupos. Gremios del sector estiman que más de 120,000 mototaxistas formales en Lima pagan entre S/ 5 y S/ 20 diarios a redes de delincuencia </w:t>
      </w:r>
      <w:r w:rsidRPr="00BF244F">
        <w:rPr>
          <w:rFonts w:ascii="Arial" w:eastAsia="Times New Roman" w:hAnsi="Arial" w:cs="Arial"/>
          <w:color w:val="303030"/>
          <w:kern w:val="0"/>
          <w:sz w:val="24"/>
          <w:szCs w:val="24"/>
          <w:lang w:eastAsia="es-PE"/>
          <w14:ligatures w14:val="none"/>
        </w:rPr>
        <w:lastRenderedPageBreak/>
        <w:t>organizada.</w:t>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p>
    <w:p w14:paraId="797C7184" w14:textId="321994EC" w:rsidR="00BF244F" w:rsidRPr="00BF244F" w:rsidRDefault="00BF244F" w:rsidP="00521009">
      <w:pPr>
        <w:numPr>
          <w:ilvl w:val="0"/>
          <w:numId w:val="2"/>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Vacíos en el Control de la Emergencia Penitenciaria:</w:t>
      </w:r>
      <w:r w:rsidRPr="00BF244F">
        <w:rPr>
          <w:rFonts w:ascii="Arial" w:eastAsia="Times New Roman" w:hAnsi="Arial" w:cs="Arial"/>
          <w:color w:val="303030"/>
          <w:kern w:val="0"/>
          <w:sz w:val="24"/>
          <w:szCs w:val="24"/>
          <w:lang w:eastAsia="es-PE"/>
          <w14:ligatures w14:val="none"/>
        </w:rPr>
        <w:t xml:space="preserve"> Pese a la vigencia del Decreto Supremo </w:t>
      </w:r>
      <w:proofErr w:type="spellStart"/>
      <w:r w:rsidRPr="00BF244F">
        <w:rPr>
          <w:rFonts w:ascii="Arial" w:eastAsia="Times New Roman" w:hAnsi="Arial" w:cs="Arial"/>
          <w:color w:val="303030"/>
          <w:kern w:val="0"/>
          <w:sz w:val="24"/>
          <w:szCs w:val="24"/>
          <w:lang w:eastAsia="es-PE"/>
          <w14:ligatures w14:val="none"/>
        </w:rPr>
        <w:t>N.°</w:t>
      </w:r>
      <w:proofErr w:type="spellEnd"/>
      <w:r w:rsidRPr="00BF244F">
        <w:rPr>
          <w:rFonts w:ascii="Arial" w:eastAsia="Times New Roman" w:hAnsi="Arial" w:cs="Arial"/>
          <w:color w:val="303030"/>
          <w:kern w:val="0"/>
          <w:sz w:val="24"/>
          <w:szCs w:val="24"/>
          <w:lang w:eastAsia="es-PE"/>
          <w14:ligatures w14:val="none"/>
        </w:rPr>
        <w:t xml:space="preserve"> 123-2026-PCM (que impone patrullaje militar perimetral, apagón eléctrico y monitoreo con drones en penales), las cárceles mantienen conectividad clandestina. El control político y administrativo de este sector sufrió una latencia el 2 de setiembre de 2026 debido a la inasistencia del presidente del Consejo Nacional Penitenciario del INPE, Raúl Timoteo Inga Garay, a la citación de la Comisión de Modernización de la Gestión del Estado y Contraloría del Congreso, aduciendo "razones de agenda".</w:t>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p>
    <w:p w14:paraId="361BCC17" w14:textId="4613C67D" w:rsidR="00BF244F" w:rsidRPr="00BF244F" w:rsidRDefault="00BF244F" w:rsidP="00521009">
      <w:pPr>
        <w:numPr>
          <w:ilvl w:val="0"/>
          <w:numId w:val="2"/>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Propuesta Gubernamental sobre "Grupos Hostiles":</w:t>
      </w:r>
      <w:r w:rsidRPr="00BF244F">
        <w:rPr>
          <w:rFonts w:ascii="Arial" w:eastAsia="Times New Roman" w:hAnsi="Arial" w:cs="Arial"/>
          <w:color w:val="303030"/>
          <w:kern w:val="0"/>
          <w:sz w:val="24"/>
          <w:szCs w:val="24"/>
          <w:lang w:eastAsia="es-PE"/>
          <w14:ligatures w14:val="none"/>
        </w:rPr>
        <w:t xml:space="preserve"> Como respuesta doctrinaria ante el avance delictivo, el Ministerio de Defensa (MINDEF) presentó el 31 de agosto ante el Congreso una propuesta legislativa para declarar a organizaciones criminales complejas (tales como "Los Pulpos", "Tren de Aragua" y "Comando </w:t>
      </w:r>
      <w:proofErr w:type="spellStart"/>
      <w:r w:rsidRPr="00BF244F">
        <w:rPr>
          <w:rFonts w:ascii="Arial" w:eastAsia="Times New Roman" w:hAnsi="Arial" w:cs="Arial"/>
          <w:color w:val="303030"/>
          <w:kern w:val="0"/>
          <w:sz w:val="24"/>
          <w:szCs w:val="24"/>
          <w:lang w:eastAsia="es-PE"/>
          <w14:ligatures w14:val="none"/>
        </w:rPr>
        <w:t>Vermelho</w:t>
      </w:r>
      <w:proofErr w:type="spellEnd"/>
      <w:r w:rsidRPr="00BF244F">
        <w:rPr>
          <w:rFonts w:ascii="Arial" w:eastAsia="Times New Roman" w:hAnsi="Arial" w:cs="Arial"/>
          <w:color w:val="303030"/>
          <w:kern w:val="0"/>
          <w:sz w:val="24"/>
          <w:szCs w:val="24"/>
          <w:lang w:eastAsia="es-PE"/>
          <w14:ligatures w14:val="none"/>
        </w:rPr>
        <w:t>") como "grupos hostiles al Estado". Esta modificación doctrinal busca facultar constitucionalmente el uso de inteligencia militar y la fuerza letal del Ejército contra estas redes en entornos urbanos.</w:t>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p>
    <w:p w14:paraId="63716100" w14:textId="77777777" w:rsidR="00BF244F" w:rsidRPr="00BF244F" w:rsidRDefault="00BF244F" w:rsidP="00521009">
      <w:pPr>
        <w:numPr>
          <w:ilvl w:val="0"/>
          <w:numId w:val="2"/>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Trazabilidad de Insumos Críticos y Operativos de Interdicción:</w:t>
      </w:r>
      <w:r w:rsidRPr="00BF244F">
        <w:rPr>
          <w:rFonts w:ascii="Arial" w:eastAsia="Times New Roman" w:hAnsi="Arial" w:cs="Arial"/>
          <w:color w:val="303030"/>
          <w:kern w:val="0"/>
          <w:sz w:val="24"/>
          <w:szCs w:val="24"/>
          <w:lang w:eastAsia="es-PE"/>
          <w14:ligatures w14:val="none"/>
        </w:rPr>
        <w:t xml:space="preserve"> El 1 de setiembre de 2026 entró en aplicación la Resolución de Superintendencia </w:t>
      </w:r>
      <w:proofErr w:type="spellStart"/>
      <w:r w:rsidRPr="00BF244F">
        <w:rPr>
          <w:rFonts w:ascii="Arial" w:eastAsia="Times New Roman" w:hAnsi="Arial" w:cs="Arial"/>
          <w:color w:val="303030"/>
          <w:kern w:val="0"/>
          <w:sz w:val="24"/>
          <w:szCs w:val="24"/>
          <w:lang w:eastAsia="es-PE"/>
          <w14:ligatures w14:val="none"/>
        </w:rPr>
        <w:t>N.°</w:t>
      </w:r>
      <w:proofErr w:type="spellEnd"/>
      <w:r w:rsidRPr="00BF244F">
        <w:rPr>
          <w:rFonts w:ascii="Arial" w:eastAsia="Times New Roman" w:hAnsi="Arial" w:cs="Arial"/>
          <w:color w:val="303030"/>
          <w:kern w:val="0"/>
          <w:sz w:val="24"/>
          <w:szCs w:val="24"/>
          <w:lang w:eastAsia="es-PE"/>
          <w14:ligatures w14:val="none"/>
        </w:rPr>
        <w:t xml:space="preserve"> 000135-2026/SUNAT, la cual exige un registro diario riguroso de movimientos y pérdidas de mercurio, cianuro de potasio y cianuro de sodio para impedir su desvío hacia la minería aurífera ilegal. Paralelamente, se difundió un balance de la Oficina del Alto Comisionado de la PCM que registra 90 interdicciones contra la minería ilegal del 1 al 15 de agosto de 2026, con bienes destruidos o incautados por más de S/ 326 millones, de los cuales Madre de Dios concentró el 91.7% (S/ 299 millones).</w:t>
      </w:r>
    </w:p>
    <w:p w14:paraId="0FA32441" w14:textId="77777777" w:rsidR="00BF244F" w:rsidRPr="00BF244F" w:rsidRDefault="00BF244F" w:rsidP="00BF244F">
      <w:pPr>
        <w:spacing w:before="100" w:beforeAutospacing="1" w:after="100" w:afterAutospacing="1" w:line="300" w:lineRule="atLeast"/>
        <w:outlineLvl w:val="3"/>
        <w:rPr>
          <w:rFonts w:ascii="Arial" w:eastAsia="Times New Roman" w:hAnsi="Arial" w:cs="Arial"/>
          <w:color w:val="1B1B1C"/>
          <w:kern w:val="0"/>
          <w:sz w:val="24"/>
          <w:szCs w:val="24"/>
          <w:lang w:eastAsia="es-PE"/>
          <w14:ligatures w14:val="none"/>
        </w:rPr>
      </w:pPr>
      <w:r w:rsidRPr="00BF244F">
        <w:rPr>
          <w:rFonts w:ascii="Arial" w:eastAsia="Times New Roman" w:hAnsi="Arial" w:cs="Arial"/>
          <w:color w:val="1B1B1C"/>
          <w:kern w:val="0"/>
          <w:sz w:val="24"/>
          <w:szCs w:val="24"/>
          <w:lang w:eastAsia="es-PE"/>
          <w14:ligatures w14:val="none"/>
        </w:rPr>
        <w:t>2. Análisis de Redes de Influjo y Colusión (SNA):</w:t>
      </w:r>
    </w:p>
    <w:p w14:paraId="00B290A2" w14:textId="77777777" w:rsidR="00BF244F" w:rsidRPr="00BF244F" w:rsidRDefault="00BF244F" w:rsidP="00521009">
      <w:p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color w:val="303030"/>
          <w:kern w:val="0"/>
          <w:sz w:val="24"/>
          <w:szCs w:val="24"/>
          <w:lang w:eastAsia="es-PE"/>
          <w14:ligatures w14:val="none"/>
        </w:rPr>
        <w:t>Las organizaciones criminales asimétricas no estatales utilizan los excedentes de capital generados por las economías extractivas ilícitas (minería ilegal del oro) para financiar su logística urbana compleja, que incluye la adquisición ilícita de equipamiento e indumentaria policial, la clonación de matrículas de seguridad pública y la cooptación de redes de comunicación carcelarias para mantener un comando unificado transnacional.</w:t>
      </w:r>
    </w:p>
    <w:p w14:paraId="5D63411C" w14:textId="77777777" w:rsidR="00BF244F" w:rsidRPr="00BF244F" w:rsidRDefault="00BF244F" w:rsidP="00BF244F">
      <w:pPr>
        <w:spacing w:before="100" w:beforeAutospacing="1" w:after="100" w:afterAutospacing="1" w:line="300" w:lineRule="atLeast"/>
        <w:outlineLvl w:val="3"/>
        <w:rPr>
          <w:rFonts w:ascii="Arial" w:eastAsia="Times New Roman" w:hAnsi="Arial" w:cs="Arial"/>
          <w:color w:val="1B1B1C"/>
          <w:kern w:val="0"/>
          <w:sz w:val="24"/>
          <w:szCs w:val="24"/>
          <w:lang w:eastAsia="es-PE"/>
          <w14:ligatures w14:val="none"/>
        </w:rPr>
      </w:pPr>
      <w:r w:rsidRPr="00BF244F">
        <w:rPr>
          <w:rFonts w:ascii="Arial" w:eastAsia="Times New Roman" w:hAnsi="Arial" w:cs="Arial"/>
          <w:color w:val="1B1B1C"/>
          <w:kern w:val="0"/>
          <w:sz w:val="24"/>
          <w:szCs w:val="24"/>
          <w:lang w:eastAsia="es-PE"/>
          <w14:ligatures w14:val="none"/>
        </w:rPr>
        <w:t xml:space="preserve">3. </w:t>
      </w:r>
      <w:proofErr w:type="spellStart"/>
      <w:r w:rsidRPr="00BF244F">
        <w:rPr>
          <w:rFonts w:ascii="Arial" w:eastAsia="Times New Roman" w:hAnsi="Arial" w:cs="Arial"/>
          <w:color w:val="1B1B1C"/>
          <w:kern w:val="0"/>
          <w:sz w:val="24"/>
          <w:szCs w:val="24"/>
          <w:lang w:eastAsia="es-PE"/>
          <w14:ligatures w14:val="none"/>
        </w:rPr>
        <w:t>Geointeligencia</w:t>
      </w:r>
      <w:proofErr w:type="spellEnd"/>
      <w:r w:rsidRPr="00BF244F">
        <w:rPr>
          <w:rFonts w:ascii="Arial" w:eastAsia="Times New Roman" w:hAnsi="Arial" w:cs="Arial"/>
          <w:color w:val="1B1B1C"/>
          <w:kern w:val="0"/>
          <w:sz w:val="24"/>
          <w:szCs w:val="24"/>
          <w:lang w:eastAsia="es-PE"/>
          <w14:ligatures w14:val="none"/>
        </w:rPr>
        <w:t xml:space="preserve"> Territorial (GEOINT) / Mapeo de Calor:</w:t>
      </w:r>
    </w:p>
    <w:p w14:paraId="43C5BA19" w14:textId="77777777" w:rsidR="00BF244F" w:rsidRPr="00BF244F" w:rsidRDefault="00BF244F" w:rsidP="00521009">
      <w:p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color w:val="303030"/>
          <w:kern w:val="0"/>
          <w:sz w:val="24"/>
          <w:szCs w:val="24"/>
          <w:lang w:eastAsia="es-PE"/>
          <w14:ligatures w14:val="none"/>
        </w:rPr>
        <w:t>La fuerte presión operativa de las interdicciones en enclaves extractivos rurales (Pataz, Cajamarca, Madre de Dios) está obligando a los operadores logísticos intermedios de las economías ilícitas a trasladar su liquidez y violencia estructural hacia los nodos de la costa norte (Trujillo) y la capital de la República (Lima), incrementando las tasas de victimización en sectores vulnerables y el transporte menor distrital en zonas urbanas periféricas (Lima Este, Norte y Sur).</w:t>
      </w:r>
    </w:p>
    <w:p w14:paraId="138117BE" w14:textId="77777777" w:rsidR="00BF244F" w:rsidRPr="00BF244F" w:rsidRDefault="00BF244F" w:rsidP="00521009">
      <w:pPr>
        <w:spacing w:after="0"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color w:val="303030"/>
          <w:kern w:val="0"/>
          <w:sz w:val="24"/>
          <w:szCs w:val="24"/>
          <w:lang w:eastAsia="es-PE"/>
          <w14:ligatures w14:val="none"/>
        </w:rPr>
        <w:lastRenderedPageBreak/>
        <w:pict w14:anchorId="3E11C69E">
          <v:rect id="_x0000_i1029" style="width:0;height:1.5pt" o:hralign="center" o:hrstd="t" o:hr="t" fillcolor="#a0a0a0" stroked="f"/>
        </w:pict>
      </w:r>
    </w:p>
    <w:p w14:paraId="5A789283" w14:textId="77777777" w:rsidR="00BF244F" w:rsidRPr="00BF244F" w:rsidRDefault="00BF244F" w:rsidP="00BF244F">
      <w:pPr>
        <w:spacing w:before="100" w:beforeAutospacing="1" w:after="100" w:afterAutospacing="1" w:line="240" w:lineRule="auto"/>
        <w:outlineLvl w:val="2"/>
        <w:rPr>
          <w:rFonts w:ascii="Arial" w:eastAsia="Times New Roman" w:hAnsi="Arial" w:cs="Arial"/>
          <w:b/>
          <w:bCs/>
          <w:color w:val="1B1B1C"/>
          <w:kern w:val="0"/>
          <w:sz w:val="24"/>
          <w:szCs w:val="24"/>
          <w:lang w:eastAsia="es-PE"/>
          <w14:ligatures w14:val="none"/>
        </w:rPr>
      </w:pPr>
      <w:r w:rsidRPr="00BF244F">
        <w:rPr>
          <w:rFonts w:ascii="Arial" w:eastAsia="Times New Roman" w:hAnsi="Arial" w:cs="Arial"/>
          <w:b/>
          <w:bCs/>
          <w:color w:val="1B1B1C"/>
          <w:kern w:val="0"/>
          <w:sz w:val="24"/>
          <w:szCs w:val="24"/>
          <w:lang w:eastAsia="es-PE"/>
          <w14:ligatures w14:val="none"/>
        </w:rPr>
        <w:t>III. MODELACIÓN DE ESCENARIOS PROSPECTIVOS (EL "HACIA DÓNDE")</w:t>
      </w:r>
    </w:p>
    <w:p w14:paraId="5E999829" w14:textId="271D6C9D" w:rsidR="00BF244F" w:rsidRPr="00BF244F" w:rsidRDefault="00BF244F" w:rsidP="00521009">
      <w:pPr>
        <w:numPr>
          <w:ilvl w:val="0"/>
          <w:numId w:val="3"/>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Escenario Tendencial (Futuro Inercial):</w:t>
      </w:r>
      <w:r w:rsidRPr="00BF244F">
        <w:rPr>
          <w:rFonts w:ascii="Arial" w:eastAsia="Times New Roman" w:hAnsi="Arial" w:cs="Arial"/>
          <w:color w:val="303030"/>
          <w:kern w:val="0"/>
          <w:sz w:val="24"/>
          <w:szCs w:val="24"/>
          <w:lang w:eastAsia="es-PE"/>
          <w14:ligatures w14:val="none"/>
        </w:rPr>
        <w:t> De mantenerse las actuales estrategias reactivas de saturación territorial mediante prórrogas consecutivas de los estados de emergencia sin una asfixia financiera real, se normalizará el asedio delictivo y el cobro de cupos extorsivos como un costo operativo de la microempresa y el transporte. Las redes asimétricas continuarán coordinando actividades desde el interior de los penales, eludiendo las medidas coercitivas exteriores mediante la adquisición de canales informales de comunicación.</w:t>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sidRPr="00521009">
        <w:rPr>
          <w:rFonts w:ascii="Arial" w:eastAsia="Times New Roman" w:hAnsi="Arial" w:cs="Arial"/>
          <w:color w:val="303030"/>
          <w:kern w:val="0"/>
          <w:sz w:val="24"/>
          <w:szCs w:val="24"/>
          <w:lang w:eastAsia="es-PE"/>
          <w14:ligatures w14:val="none"/>
        </w:rPr>
        <w:t xml:space="preserve">                                                               </w:t>
      </w:r>
      <w:r w:rsidR="00521009" w:rsidRPr="00521009">
        <w:rPr>
          <w:rFonts w:ascii="Arial" w:eastAsia="Times New Roman" w:hAnsi="Arial" w:cs="Arial"/>
          <w:color w:val="303030"/>
          <w:kern w:val="0"/>
          <w:sz w:val="24"/>
          <w:szCs w:val="24"/>
          <w:lang w:eastAsia="es-PE"/>
          <w14:ligatures w14:val="none"/>
        </w:rPr>
        <w:tab/>
      </w:r>
    </w:p>
    <w:p w14:paraId="456F3E4D" w14:textId="05D7B640" w:rsidR="00BF244F" w:rsidRPr="00BF244F" w:rsidRDefault="00BF244F" w:rsidP="00521009">
      <w:pPr>
        <w:numPr>
          <w:ilvl w:val="0"/>
          <w:numId w:val="3"/>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Escenario Catastrófico (Futuro de Deterioro):</w:t>
      </w:r>
      <w:r w:rsidRPr="00BF244F">
        <w:rPr>
          <w:rFonts w:ascii="Arial" w:eastAsia="Times New Roman" w:hAnsi="Arial" w:cs="Arial"/>
          <w:color w:val="303030"/>
          <w:kern w:val="0"/>
          <w:sz w:val="24"/>
          <w:szCs w:val="24"/>
          <w:lang w:eastAsia="es-PE"/>
          <w14:ligatures w14:val="none"/>
        </w:rPr>
        <w:t> Las redes criminales logran una simbiosis total con autoridades subnacionales y elementos de control del orden público para garantizar impunidad logística. La suplantación de unidades de operaciones especiales del Estado se consolida como táctica para el secuestro y asalto de alto nivel, neutralizando las alertas de seguridad del sector privado. El control informal carcelario desencadena respuestas violentas coordinadas (motines y represalias tácticas) ante las medidas restrictivas perimetrales de la emergencia militar, provocando el colapso de la gobernabilidad carcelaria.</w:t>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r w:rsidR="00521009">
        <w:rPr>
          <w:rFonts w:ascii="Arial" w:eastAsia="Times New Roman" w:hAnsi="Arial" w:cs="Arial"/>
          <w:color w:val="303030"/>
          <w:kern w:val="0"/>
          <w:sz w:val="24"/>
          <w:szCs w:val="24"/>
          <w:lang w:eastAsia="es-PE"/>
          <w14:ligatures w14:val="none"/>
        </w:rPr>
        <w:tab/>
      </w:r>
    </w:p>
    <w:p w14:paraId="57B5EEE8" w14:textId="77777777" w:rsidR="00BF244F" w:rsidRPr="00BF244F" w:rsidRDefault="00BF244F" w:rsidP="00521009">
      <w:pPr>
        <w:numPr>
          <w:ilvl w:val="0"/>
          <w:numId w:val="3"/>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 xml:space="preserve">Escenario Deseable y Apuesta (Futuro </w:t>
      </w:r>
      <w:proofErr w:type="spellStart"/>
      <w:r w:rsidRPr="00BF244F">
        <w:rPr>
          <w:rFonts w:ascii="Arial" w:eastAsia="Times New Roman" w:hAnsi="Arial" w:cs="Arial"/>
          <w:b/>
          <w:bCs/>
          <w:color w:val="303030"/>
          <w:kern w:val="0"/>
          <w:sz w:val="24"/>
          <w:szCs w:val="24"/>
          <w:lang w:eastAsia="es-PE"/>
          <w14:ligatures w14:val="none"/>
        </w:rPr>
        <w:t>Goal</w:t>
      </w:r>
      <w:proofErr w:type="spellEnd"/>
      <w:r w:rsidRPr="00BF244F">
        <w:rPr>
          <w:rFonts w:ascii="Arial" w:eastAsia="Times New Roman" w:hAnsi="Arial" w:cs="Arial"/>
          <w:b/>
          <w:bCs/>
          <w:color w:val="303030"/>
          <w:kern w:val="0"/>
          <w:sz w:val="24"/>
          <w:szCs w:val="24"/>
          <w:lang w:eastAsia="es-PE"/>
          <w14:ligatures w14:val="none"/>
        </w:rPr>
        <w:t xml:space="preserve"> / Resiliente):</w:t>
      </w:r>
      <w:r w:rsidRPr="00BF244F">
        <w:rPr>
          <w:rFonts w:ascii="Arial" w:eastAsia="Times New Roman" w:hAnsi="Arial" w:cs="Arial"/>
          <w:color w:val="303030"/>
          <w:kern w:val="0"/>
          <w:sz w:val="24"/>
          <w:szCs w:val="24"/>
          <w:lang w:eastAsia="es-PE"/>
          <w14:ligatures w14:val="none"/>
        </w:rPr>
        <w:t xml:space="preserve"> Se logra quebrar la cadena financiera delictiva mediante el control estricto y la trazabilidad en tiempo real de insumos críticos (mercurio, cianuro de potasio, cianuro de sodio) amparados por la SUNAT, limitando el flujo de capital hacia las redes delictivas. La gobernanza penitenciaria se recupera de manera civil mediante el control exhaustivo de personal, uso de tecnología móvil de control, implementación de códigos reservados eficaces para denunciantes del sector comercial y transporte, y un control riguroso de las comunicaciones </w:t>
      </w:r>
      <w:proofErr w:type="spellStart"/>
      <w:r w:rsidRPr="00BF244F">
        <w:rPr>
          <w:rFonts w:ascii="Arial" w:eastAsia="Times New Roman" w:hAnsi="Arial" w:cs="Arial"/>
          <w:color w:val="303030"/>
          <w:kern w:val="0"/>
          <w:sz w:val="24"/>
          <w:szCs w:val="24"/>
          <w:lang w:eastAsia="es-PE"/>
          <w14:ligatures w14:val="none"/>
        </w:rPr>
        <w:t>intra-muros</w:t>
      </w:r>
      <w:proofErr w:type="spellEnd"/>
      <w:r w:rsidRPr="00BF244F">
        <w:rPr>
          <w:rFonts w:ascii="Arial" w:eastAsia="Times New Roman" w:hAnsi="Arial" w:cs="Arial"/>
          <w:color w:val="303030"/>
          <w:kern w:val="0"/>
          <w:sz w:val="24"/>
          <w:szCs w:val="24"/>
          <w:lang w:eastAsia="es-PE"/>
          <w14:ligatures w14:val="none"/>
        </w:rPr>
        <w:t>, reduciendo el riesgo de penetración institucional y captación criminal local a niveles mínimos históricos.</w:t>
      </w:r>
    </w:p>
    <w:p w14:paraId="799B1970" w14:textId="77777777" w:rsidR="00BF244F" w:rsidRPr="00BF244F" w:rsidRDefault="00BF244F" w:rsidP="00521009">
      <w:pPr>
        <w:spacing w:after="0"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color w:val="303030"/>
          <w:kern w:val="0"/>
          <w:sz w:val="24"/>
          <w:szCs w:val="24"/>
          <w:lang w:eastAsia="es-PE"/>
          <w14:ligatures w14:val="none"/>
        </w:rPr>
        <w:pict w14:anchorId="4AFD74DD">
          <v:rect id="_x0000_i1030" style="width:0;height:1.5pt" o:hralign="center" o:hrstd="t" o:hr="t" fillcolor="#a0a0a0" stroked="f"/>
        </w:pict>
      </w:r>
    </w:p>
    <w:p w14:paraId="4E2BD1C0" w14:textId="77777777" w:rsidR="00BF244F" w:rsidRPr="00BF244F" w:rsidRDefault="00BF244F" w:rsidP="00BF244F">
      <w:pPr>
        <w:spacing w:before="100" w:beforeAutospacing="1" w:after="100" w:afterAutospacing="1" w:line="240" w:lineRule="auto"/>
        <w:outlineLvl w:val="2"/>
        <w:rPr>
          <w:rFonts w:ascii="Arial" w:eastAsia="Times New Roman" w:hAnsi="Arial" w:cs="Arial"/>
          <w:b/>
          <w:bCs/>
          <w:color w:val="1B1B1C"/>
          <w:kern w:val="0"/>
          <w:sz w:val="24"/>
          <w:szCs w:val="24"/>
          <w:lang w:eastAsia="es-PE"/>
          <w14:ligatures w14:val="none"/>
        </w:rPr>
      </w:pPr>
      <w:r w:rsidRPr="00BF244F">
        <w:rPr>
          <w:rFonts w:ascii="Arial" w:eastAsia="Times New Roman" w:hAnsi="Arial" w:cs="Arial"/>
          <w:b/>
          <w:bCs/>
          <w:color w:val="1B1B1C"/>
          <w:kern w:val="0"/>
          <w:sz w:val="24"/>
          <w:szCs w:val="24"/>
          <w:lang w:eastAsia="es-PE"/>
          <w14:ligatures w14:val="none"/>
        </w:rPr>
        <w:t>IV. RECOMENDACIONES DE POLÍTICA PÚBLICA (EL "QUÉ HACER")</w:t>
      </w:r>
    </w:p>
    <w:p w14:paraId="021A9A88" w14:textId="77777777" w:rsidR="00BF244F" w:rsidRPr="00BF244F" w:rsidRDefault="00BF244F" w:rsidP="00BF244F">
      <w:pPr>
        <w:spacing w:before="100" w:beforeAutospacing="1" w:after="100" w:afterAutospacing="1" w:line="300" w:lineRule="atLeast"/>
        <w:outlineLvl w:val="3"/>
        <w:rPr>
          <w:rFonts w:ascii="Arial" w:eastAsia="Times New Roman" w:hAnsi="Arial" w:cs="Arial"/>
          <w:color w:val="1B1B1C"/>
          <w:kern w:val="0"/>
          <w:sz w:val="24"/>
          <w:szCs w:val="24"/>
          <w:lang w:eastAsia="es-PE"/>
          <w14:ligatures w14:val="none"/>
        </w:rPr>
      </w:pPr>
      <w:r w:rsidRPr="00BF244F">
        <w:rPr>
          <w:rFonts w:ascii="Arial" w:eastAsia="Times New Roman" w:hAnsi="Arial" w:cs="Arial"/>
          <w:color w:val="1B1B1C"/>
          <w:kern w:val="0"/>
          <w:sz w:val="24"/>
          <w:szCs w:val="24"/>
          <w:lang w:eastAsia="es-PE"/>
          <w14:ligatures w14:val="none"/>
        </w:rPr>
        <w:t>1. Acciones de Mitigación Inmediata (Shock):</w:t>
      </w:r>
    </w:p>
    <w:p w14:paraId="7DC620D4" w14:textId="0395603D" w:rsidR="006F1DE1" w:rsidRDefault="00BF244F" w:rsidP="006F1DE1">
      <w:pPr>
        <w:numPr>
          <w:ilvl w:val="0"/>
          <w:numId w:val="4"/>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Interoperabilidad Tecnológica de SUNAT y SUCAMEC:</w:t>
      </w:r>
      <w:r w:rsidRPr="00BF244F">
        <w:rPr>
          <w:rFonts w:ascii="Arial" w:eastAsia="Times New Roman" w:hAnsi="Arial" w:cs="Arial"/>
          <w:color w:val="303030"/>
          <w:kern w:val="0"/>
          <w:sz w:val="24"/>
          <w:szCs w:val="24"/>
          <w:lang w:eastAsia="es-PE"/>
          <w14:ligatures w14:val="none"/>
        </w:rPr>
        <w:t> Coordinar la fiscalización digital inmediata sobre el padrón de usuarios de insumos químicos (mercurio y cianuro) en zonas de transporte minero para detectar de manera temprana inconsistencias patrimoniales o desvíos logísticos significativos.</w:t>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p>
    <w:p w14:paraId="0D4A5A1A" w14:textId="79A26C76" w:rsidR="00BF244F" w:rsidRPr="00BF244F" w:rsidRDefault="00BF244F" w:rsidP="006F1DE1">
      <w:pPr>
        <w:numPr>
          <w:ilvl w:val="0"/>
          <w:numId w:val="4"/>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lastRenderedPageBreak/>
        <w:t>Trazabilidad y Custodia de Identidad de las Fuerzas del Orden:</w:t>
      </w:r>
      <w:r w:rsidRPr="00BF244F">
        <w:rPr>
          <w:rFonts w:ascii="Arial" w:eastAsia="Times New Roman" w:hAnsi="Arial" w:cs="Arial"/>
          <w:color w:val="303030"/>
          <w:kern w:val="0"/>
          <w:sz w:val="24"/>
          <w:szCs w:val="24"/>
          <w:lang w:eastAsia="es-PE"/>
          <w14:ligatures w14:val="none"/>
        </w:rPr>
        <w:t> Implementar un sistema de auditoría digital de códigos QR en identificaciones, uniformes y matrículas vehiculares de la Policía Nacional para que el ciudadano y el personal de seguridad privada puedan contrastar en tiempo real la legitimidad de un operativo policial.</w:t>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p>
    <w:p w14:paraId="786F4F44" w14:textId="77777777" w:rsidR="00BF244F" w:rsidRPr="00BF244F" w:rsidRDefault="00BF244F" w:rsidP="006F1DE1">
      <w:pPr>
        <w:numPr>
          <w:ilvl w:val="0"/>
          <w:numId w:val="4"/>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Bloqueo Efectivo de Señales en Centros Penitenciarios:</w:t>
      </w:r>
      <w:r w:rsidRPr="00BF244F">
        <w:rPr>
          <w:rFonts w:ascii="Arial" w:eastAsia="Times New Roman" w:hAnsi="Arial" w:cs="Arial"/>
          <w:color w:val="303030"/>
          <w:kern w:val="0"/>
          <w:sz w:val="24"/>
          <w:szCs w:val="24"/>
          <w:lang w:eastAsia="es-PE"/>
          <w14:ligatures w14:val="none"/>
        </w:rPr>
        <w:t> Conducir auditorías electromagnéticas rigurosas alrededor del Penal El Milagro y otros recintos del norte, garantizando el bloqueo total y sin interrupciones de redes de comunicación por internet de banda ancha e inalámbricas, limitando la planificación operativa externa.</w:t>
      </w:r>
    </w:p>
    <w:p w14:paraId="6140C9E7" w14:textId="77777777" w:rsidR="00BF244F" w:rsidRPr="00BF244F" w:rsidRDefault="00BF244F" w:rsidP="00BF244F">
      <w:pPr>
        <w:spacing w:before="100" w:beforeAutospacing="1" w:after="100" w:afterAutospacing="1" w:line="300" w:lineRule="atLeast"/>
        <w:outlineLvl w:val="3"/>
        <w:rPr>
          <w:rFonts w:ascii="Arial" w:eastAsia="Times New Roman" w:hAnsi="Arial" w:cs="Arial"/>
          <w:color w:val="1B1B1C"/>
          <w:kern w:val="0"/>
          <w:sz w:val="24"/>
          <w:szCs w:val="24"/>
          <w:lang w:eastAsia="es-PE"/>
          <w14:ligatures w14:val="none"/>
        </w:rPr>
      </w:pPr>
      <w:r w:rsidRPr="00BF244F">
        <w:rPr>
          <w:rFonts w:ascii="Arial" w:eastAsia="Times New Roman" w:hAnsi="Arial" w:cs="Arial"/>
          <w:color w:val="1B1B1C"/>
          <w:kern w:val="0"/>
          <w:sz w:val="24"/>
          <w:szCs w:val="24"/>
          <w:lang w:eastAsia="es-PE"/>
          <w14:ligatures w14:val="none"/>
        </w:rPr>
        <w:t>2. Reformas Estructurales de Mediano Plazo:</w:t>
      </w:r>
    </w:p>
    <w:p w14:paraId="0D8E99D5" w14:textId="3124EADE" w:rsidR="00BF244F" w:rsidRPr="00BF244F" w:rsidRDefault="00BF244F" w:rsidP="006F1DE1">
      <w:pPr>
        <w:numPr>
          <w:ilvl w:val="0"/>
          <w:numId w:val="5"/>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Evaluación del Impacto Jurisprudencial de "Grupos Hostiles":</w:t>
      </w:r>
      <w:r w:rsidRPr="00BF244F">
        <w:rPr>
          <w:rFonts w:ascii="Arial" w:eastAsia="Times New Roman" w:hAnsi="Arial" w:cs="Arial"/>
          <w:color w:val="303030"/>
          <w:kern w:val="0"/>
          <w:sz w:val="24"/>
          <w:szCs w:val="24"/>
          <w:lang w:eastAsia="es-PE"/>
          <w14:ligatures w14:val="none"/>
        </w:rPr>
        <w:t> Abrir mesas de debate multisectorial sobre el proyecto de ley del MINDEF respecto a la redefinición de bandas complejas urbanas. Se debe evaluar detenidamente, con apego a los convenios internacionales sobre Derechos Humanos y la Constitución Política, los límites operacionales y las reglas de enfrentamiento del personal militar en zonas urbanas para evitar colisiones jurídicas sobre la aplicación de la fuerza letal.</w:t>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r w:rsidR="006F1DE1">
        <w:rPr>
          <w:rFonts w:ascii="Arial" w:eastAsia="Times New Roman" w:hAnsi="Arial" w:cs="Arial"/>
          <w:color w:val="303030"/>
          <w:kern w:val="0"/>
          <w:sz w:val="24"/>
          <w:szCs w:val="24"/>
          <w:lang w:eastAsia="es-PE"/>
          <w14:ligatures w14:val="none"/>
        </w:rPr>
        <w:tab/>
      </w:r>
    </w:p>
    <w:p w14:paraId="32B03DF9" w14:textId="77777777" w:rsidR="00BF244F" w:rsidRPr="00BF244F" w:rsidRDefault="00BF244F" w:rsidP="006F1DE1">
      <w:pPr>
        <w:numPr>
          <w:ilvl w:val="0"/>
          <w:numId w:val="5"/>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Reestructuración Administrativa y Profesionalización del INPE:</w:t>
      </w:r>
      <w:r w:rsidRPr="00BF244F">
        <w:rPr>
          <w:rFonts w:ascii="Arial" w:eastAsia="Times New Roman" w:hAnsi="Arial" w:cs="Arial"/>
          <w:color w:val="303030"/>
          <w:kern w:val="0"/>
          <w:sz w:val="24"/>
          <w:szCs w:val="24"/>
          <w:lang w:eastAsia="es-PE"/>
          <w14:ligatures w14:val="none"/>
        </w:rPr>
        <w:t> Sancionar con rigor penal la inconducta de custodios carcelarios que faciliten la conectividad, implementando evaluaciones periódicas de control de confianza institucional (polígrafos) para el personal de recintos de alta seguridad.</w:t>
      </w:r>
    </w:p>
    <w:p w14:paraId="2E4638C6" w14:textId="77777777" w:rsidR="00BF244F" w:rsidRPr="00BF244F" w:rsidRDefault="00BF244F" w:rsidP="00BF244F">
      <w:pPr>
        <w:spacing w:before="100" w:beforeAutospacing="1" w:after="100" w:afterAutospacing="1" w:line="300" w:lineRule="atLeast"/>
        <w:outlineLvl w:val="3"/>
        <w:rPr>
          <w:rFonts w:ascii="Arial" w:eastAsia="Times New Roman" w:hAnsi="Arial" w:cs="Arial"/>
          <w:color w:val="1B1B1C"/>
          <w:kern w:val="0"/>
          <w:sz w:val="24"/>
          <w:szCs w:val="24"/>
          <w:lang w:eastAsia="es-PE"/>
          <w14:ligatures w14:val="none"/>
        </w:rPr>
      </w:pPr>
      <w:r w:rsidRPr="00BF244F">
        <w:rPr>
          <w:rFonts w:ascii="Arial" w:eastAsia="Times New Roman" w:hAnsi="Arial" w:cs="Arial"/>
          <w:color w:val="1B1B1C"/>
          <w:kern w:val="0"/>
          <w:sz w:val="24"/>
          <w:szCs w:val="24"/>
          <w:lang w:eastAsia="es-PE"/>
          <w14:ligatures w14:val="none"/>
        </w:rPr>
        <w:t>3. Estrategia de Transferencia Tecnológica:</w:t>
      </w:r>
    </w:p>
    <w:p w14:paraId="56FCCA10" w14:textId="77777777" w:rsidR="00BF244F" w:rsidRPr="00BF244F" w:rsidRDefault="00BF244F" w:rsidP="006F1DE1">
      <w:pPr>
        <w:numPr>
          <w:ilvl w:val="0"/>
          <w:numId w:val="6"/>
        </w:num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b/>
          <w:bCs/>
          <w:color w:val="303030"/>
          <w:kern w:val="0"/>
          <w:sz w:val="24"/>
          <w:szCs w:val="24"/>
          <w:lang w:eastAsia="es-PE"/>
          <w14:ligatures w14:val="none"/>
        </w:rPr>
        <w:t>Uso del IRPEIC como Herramienta Predictiva:</w:t>
      </w:r>
      <w:r w:rsidRPr="00BF244F">
        <w:rPr>
          <w:rFonts w:ascii="Arial" w:eastAsia="Times New Roman" w:hAnsi="Arial" w:cs="Arial"/>
          <w:color w:val="303030"/>
          <w:kern w:val="0"/>
          <w:sz w:val="24"/>
          <w:szCs w:val="24"/>
          <w:lang w:eastAsia="es-PE"/>
          <w14:ligatures w14:val="none"/>
        </w:rPr>
        <w:t xml:space="preserve"> Transferir el Índice de Riesgo de Penetración de Economías Ilícitas (IRPEIC) a la Presidencia del Consejo de </w:t>
      </w:r>
      <w:proofErr w:type="gramStart"/>
      <w:r w:rsidRPr="00BF244F">
        <w:rPr>
          <w:rFonts w:ascii="Arial" w:eastAsia="Times New Roman" w:hAnsi="Arial" w:cs="Arial"/>
          <w:color w:val="303030"/>
          <w:kern w:val="0"/>
          <w:sz w:val="24"/>
          <w:szCs w:val="24"/>
          <w:lang w:eastAsia="es-PE"/>
          <w14:ligatures w14:val="none"/>
        </w:rPr>
        <w:t>Ministros</w:t>
      </w:r>
      <w:proofErr w:type="gramEnd"/>
      <w:r w:rsidRPr="00BF244F">
        <w:rPr>
          <w:rFonts w:ascii="Arial" w:eastAsia="Times New Roman" w:hAnsi="Arial" w:cs="Arial"/>
          <w:color w:val="303030"/>
          <w:kern w:val="0"/>
          <w:sz w:val="24"/>
          <w:szCs w:val="24"/>
          <w:lang w:eastAsia="es-PE"/>
          <w14:ligatures w14:val="none"/>
        </w:rPr>
        <w:t xml:space="preserve"> (PCM) y a los gobiernos locales de la costa norte para anticipar y diagnosticar el asedio de la delincuencia compleja en contratos de compras públicas subnacionales antes de que deriven en la captura física de territorios.</w:t>
      </w:r>
    </w:p>
    <w:p w14:paraId="3AE0A240" w14:textId="77777777" w:rsidR="00BF244F" w:rsidRPr="00BF244F" w:rsidRDefault="00BF244F" w:rsidP="006F1DE1">
      <w:pPr>
        <w:spacing w:after="0"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color w:val="303030"/>
          <w:kern w:val="0"/>
          <w:sz w:val="24"/>
          <w:szCs w:val="24"/>
          <w:lang w:eastAsia="es-PE"/>
          <w14:ligatures w14:val="none"/>
        </w:rPr>
        <w:pict w14:anchorId="7879177A">
          <v:rect id="_x0000_i1031" style="width:0;height:1.5pt" o:hralign="center" o:hrstd="t" o:hr="t" fillcolor="#a0a0a0" stroked="f"/>
        </w:pict>
      </w:r>
    </w:p>
    <w:p w14:paraId="578382F0" w14:textId="70530C1B" w:rsidR="00BF244F" w:rsidRPr="00BF244F" w:rsidRDefault="00BF244F" w:rsidP="00BF244F">
      <w:pPr>
        <w:spacing w:after="0" w:line="240" w:lineRule="auto"/>
        <w:rPr>
          <w:rFonts w:ascii="Arial" w:eastAsia="Times New Roman" w:hAnsi="Arial" w:cs="Arial"/>
          <w:color w:val="303030"/>
          <w:kern w:val="0"/>
          <w:sz w:val="24"/>
          <w:szCs w:val="24"/>
          <w:lang w:eastAsia="es-PE"/>
          <w14:ligatures w14:val="none"/>
        </w:rPr>
      </w:pPr>
    </w:p>
    <w:p w14:paraId="6B43203B" w14:textId="77777777" w:rsidR="00BF244F" w:rsidRPr="00BF244F" w:rsidRDefault="00BF244F" w:rsidP="006F1DE1">
      <w:pPr>
        <w:spacing w:before="100" w:beforeAutospacing="1" w:after="100" w:afterAutospacing="1" w:line="240" w:lineRule="auto"/>
        <w:jc w:val="both"/>
        <w:rPr>
          <w:rFonts w:ascii="Arial" w:eastAsia="Times New Roman" w:hAnsi="Arial" w:cs="Arial"/>
          <w:color w:val="303030"/>
          <w:kern w:val="0"/>
          <w:sz w:val="24"/>
          <w:szCs w:val="24"/>
          <w:lang w:eastAsia="es-PE"/>
          <w14:ligatures w14:val="none"/>
        </w:rPr>
      </w:pPr>
      <w:r w:rsidRPr="00BF244F">
        <w:rPr>
          <w:rFonts w:ascii="Arial" w:eastAsia="Times New Roman" w:hAnsi="Arial" w:cs="Arial"/>
          <w:i/>
          <w:iCs/>
          <w:color w:val="303030"/>
          <w:kern w:val="0"/>
          <w:sz w:val="24"/>
          <w:szCs w:val="24"/>
          <w:lang w:eastAsia="es-PE"/>
          <w14:ligatures w14:val="none"/>
        </w:rPr>
        <w:t>Cláusula de Neutralidad (Artículo 5º): El contenido de la presente Ficha de Alerta Temprana es de carácter estrictamente académico, propositivo y de divulgación técnica. ONG PROSPECTIVA no realiza labores de inteligencia operativa, de campo ni de recopilación reservada de información, respetando de manera absoluta las competencias exclusivas e indelegables de las instituciones del Estado peruano.</w:t>
      </w:r>
    </w:p>
    <w:sectPr w:rsidR="00BF244F" w:rsidRPr="00BF244F">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EA80B" w14:textId="77777777" w:rsidR="00F036A5" w:rsidRDefault="00F036A5" w:rsidP="006F1DE1">
      <w:pPr>
        <w:spacing w:after="0" w:line="240" w:lineRule="auto"/>
      </w:pPr>
      <w:r>
        <w:separator/>
      </w:r>
    </w:p>
  </w:endnote>
  <w:endnote w:type="continuationSeparator" w:id="0">
    <w:p w14:paraId="4F27DED6" w14:textId="77777777" w:rsidR="00F036A5" w:rsidRDefault="00F036A5" w:rsidP="006F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976200"/>
      <w:docPartObj>
        <w:docPartGallery w:val="Page Numbers (Bottom of Page)"/>
        <w:docPartUnique/>
      </w:docPartObj>
    </w:sdtPr>
    <w:sdtContent>
      <w:p w14:paraId="61CBD8D2" w14:textId="1D934F44" w:rsidR="006F1DE1" w:rsidRDefault="006F1DE1">
        <w:pPr>
          <w:pStyle w:val="Piedepgina"/>
          <w:jc w:val="center"/>
        </w:pPr>
        <w:r>
          <w:fldChar w:fldCharType="begin"/>
        </w:r>
        <w:r>
          <w:instrText>PAGE   \* MERGEFORMAT</w:instrText>
        </w:r>
        <w:r>
          <w:fldChar w:fldCharType="separate"/>
        </w:r>
        <w:r>
          <w:rPr>
            <w:lang w:val="es-ES"/>
          </w:rPr>
          <w:t>2</w:t>
        </w:r>
        <w:r>
          <w:fldChar w:fldCharType="end"/>
        </w:r>
      </w:p>
    </w:sdtContent>
  </w:sdt>
  <w:p w14:paraId="41B33995" w14:textId="77777777" w:rsidR="006F1DE1" w:rsidRDefault="006F1D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520B" w14:textId="77777777" w:rsidR="00F036A5" w:rsidRDefault="00F036A5" w:rsidP="006F1DE1">
      <w:pPr>
        <w:spacing w:after="0" w:line="240" w:lineRule="auto"/>
      </w:pPr>
      <w:r>
        <w:separator/>
      </w:r>
    </w:p>
  </w:footnote>
  <w:footnote w:type="continuationSeparator" w:id="0">
    <w:p w14:paraId="0983F442" w14:textId="77777777" w:rsidR="00F036A5" w:rsidRDefault="00F036A5" w:rsidP="006F1D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C98"/>
    <w:multiLevelType w:val="multilevel"/>
    <w:tmpl w:val="FD98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94EBA"/>
    <w:multiLevelType w:val="multilevel"/>
    <w:tmpl w:val="13FE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D252C"/>
    <w:multiLevelType w:val="multilevel"/>
    <w:tmpl w:val="7742A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E06ED"/>
    <w:multiLevelType w:val="multilevel"/>
    <w:tmpl w:val="D242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307F5"/>
    <w:multiLevelType w:val="multilevel"/>
    <w:tmpl w:val="C2143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B219EF"/>
    <w:multiLevelType w:val="multilevel"/>
    <w:tmpl w:val="3E84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4372F3"/>
    <w:multiLevelType w:val="multilevel"/>
    <w:tmpl w:val="4D04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7054669">
    <w:abstractNumId w:val="3"/>
  </w:num>
  <w:num w:numId="2" w16cid:durableId="978265106">
    <w:abstractNumId w:val="1"/>
  </w:num>
  <w:num w:numId="3" w16cid:durableId="617024629">
    <w:abstractNumId w:val="2"/>
  </w:num>
  <w:num w:numId="4" w16cid:durableId="375155151">
    <w:abstractNumId w:val="0"/>
  </w:num>
  <w:num w:numId="5" w16cid:durableId="632101161">
    <w:abstractNumId w:val="5"/>
  </w:num>
  <w:num w:numId="6" w16cid:durableId="1040931523">
    <w:abstractNumId w:val="6"/>
  </w:num>
  <w:num w:numId="7" w16cid:durableId="4164851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44F"/>
    <w:rsid w:val="00521009"/>
    <w:rsid w:val="005A6615"/>
    <w:rsid w:val="006F1DE1"/>
    <w:rsid w:val="007F1EF0"/>
    <w:rsid w:val="009D0057"/>
    <w:rsid w:val="00BF244F"/>
    <w:rsid w:val="00CA36ED"/>
    <w:rsid w:val="00F036A5"/>
    <w:rsid w:val="00F40AF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91348"/>
  <w15:chartTrackingRefBased/>
  <w15:docId w15:val="{4AE8EE87-BE14-4D1A-8F00-70672B506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F24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BF24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F244F"/>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F244F"/>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F244F"/>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F244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244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244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244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244F"/>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BF244F"/>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F244F"/>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F244F"/>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F244F"/>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F244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F244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F244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F244F"/>
    <w:rPr>
      <w:rFonts w:eastAsiaTheme="majorEastAsia" w:cstheme="majorBidi"/>
      <w:color w:val="272727" w:themeColor="text1" w:themeTint="D8"/>
    </w:rPr>
  </w:style>
  <w:style w:type="paragraph" w:styleId="Ttulo">
    <w:name w:val="Title"/>
    <w:basedOn w:val="Normal"/>
    <w:next w:val="Normal"/>
    <w:link w:val="TtuloCar"/>
    <w:uiPriority w:val="10"/>
    <w:qFormat/>
    <w:rsid w:val="00BF24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244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F244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244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F244F"/>
    <w:pPr>
      <w:spacing w:before="160"/>
      <w:jc w:val="center"/>
    </w:pPr>
    <w:rPr>
      <w:i/>
      <w:iCs/>
      <w:color w:val="404040" w:themeColor="text1" w:themeTint="BF"/>
    </w:rPr>
  </w:style>
  <w:style w:type="character" w:customStyle="1" w:styleId="CitaCar">
    <w:name w:val="Cita Car"/>
    <w:basedOn w:val="Fuentedeprrafopredeter"/>
    <w:link w:val="Cita"/>
    <w:uiPriority w:val="29"/>
    <w:rsid w:val="00BF244F"/>
    <w:rPr>
      <w:i/>
      <w:iCs/>
      <w:color w:val="404040" w:themeColor="text1" w:themeTint="BF"/>
    </w:rPr>
  </w:style>
  <w:style w:type="paragraph" w:styleId="Prrafodelista">
    <w:name w:val="List Paragraph"/>
    <w:basedOn w:val="Normal"/>
    <w:uiPriority w:val="34"/>
    <w:qFormat/>
    <w:rsid w:val="00BF244F"/>
    <w:pPr>
      <w:ind w:left="720"/>
      <w:contextualSpacing/>
    </w:pPr>
  </w:style>
  <w:style w:type="character" w:styleId="nfasisintenso">
    <w:name w:val="Intense Emphasis"/>
    <w:basedOn w:val="Fuentedeprrafopredeter"/>
    <w:uiPriority w:val="21"/>
    <w:qFormat/>
    <w:rsid w:val="00BF244F"/>
    <w:rPr>
      <w:i/>
      <w:iCs/>
      <w:color w:val="2F5496" w:themeColor="accent1" w:themeShade="BF"/>
    </w:rPr>
  </w:style>
  <w:style w:type="paragraph" w:styleId="Citadestacada">
    <w:name w:val="Intense Quote"/>
    <w:basedOn w:val="Normal"/>
    <w:next w:val="Normal"/>
    <w:link w:val="CitadestacadaCar"/>
    <w:uiPriority w:val="30"/>
    <w:qFormat/>
    <w:rsid w:val="00BF24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F244F"/>
    <w:rPr>
      <w:i/>
      <w:iCs/>
      <w:color w:val="2F5496" w:themeColor="accent1" w:themeShade="BF"/>
    </w:rPr>
  </w:style>
  <w:style w:type="character" w:styleId="Referenciaintensa">
    <w:name w:val="Intense Reference"/>
    <w:basedOn w:val="Fuentedeprrafopredeter"/>
    <w:uiPriority w:val="32"/>
    <w:qFormat/>
    <w:rsid w:val="00BF244F"/>
    <w:rPr>
      <w:b/>
      <w:bCs/>
      <w:smallCaps/>
      <w:color w:val="2F5496" w:themeColor="accent1" w:themeShade="BF"/>
      <w:spacing w:val="5"/>
    </w:rPr>
  </w:style>
  <w:style w:type="paragraph" w:styleId="Encabezado">
    <w:name w:val="header"/>
    <w:basedOn w:val="Normal"/>
    <w:link w:val="EncabezadoCar"/>
    <w:uiPriority w:val="99"/>
    <w:unhideWhenUsed/>
    <w:rsid w:val="006F1DE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F1DE1"/>
  </w:style>
  <w:style w:type="paragraph" w:styleId="Piedepgina">
    <w:name w:val="footer"/>
    <w:basedOn w:val="Normal"/>
    <w:link w:val="PiedepginaCar"/>
    <w:uiPriority w:val="99"/>
    <w:unhideWhenUsed/>
    <w:rsid w:val="006F1DE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F1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1835</Words>
  <Characters>10094</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rodrigo salinas</dc:creator>
  <cp:keywords/>
  <dc:description/>
  <cp:lastModifiedBy>jorge rodrigo salinas</cp:lastModifiedBy>
  <cp:revision>2</cp:revision>
  <dcterms:created xsi:type="dcterms:W3CDTF">2026-09-03T20:55:00Z</dcterms:created>
  <dcterms:modified xsi:type="dcterms:W3CDTF">2026-09-03T20:55:00Z</dcterms:modified>
</cp:coreProperties>
</file>