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1ABED" w14:textId="77777777" w:rsidR="00AE4686" w:rsidRDefault="00AE4686">
      <w:pPr>
        <w:pBdr>
          <w:top w:val="nil"/>
          <w:left w:val="nil"/>
          <w:bottom w:val="nil"/>
          <w:right w:val="nil"/>
          <w:between w:val="nil"/>
        </w:pBdr>
        <w:spacing w:line="275" w:lineRule="auto"/>
        <w:rPr>
          <w:rFonts w:ascii="Google Sans" w:eastAsia="Google Sans" w:hAnsi="Google Sans" w:cs="Google Sans"/>
          <w:b/>
          <w:bCs/>
          <w:color w:val="1F1F1F"/>
        </w:rPr>
      </w:pPr>
    </w:p>
    <w:p w14:paraId="2BFD0BB8" w14:textId="6BEBCD4C" w:rsidR="00AE4686" w:rsidRPr="00AE4686" w:rsidRDefault="00AE4686" w:rsidP="00281D70">
      <w:pPr>
        <w:pBdr>
          <w:top w:val="nil"/>
          <w:left w:val="nil"/>
          <w:bottom w:val="nil"/>
          <w:right w:val="nil"/>
          <w:between w:val="nil"/>
        </w:pBdr>
        <w:spacing w:line="275" w:lineRule="auto"/>
        <w:ind w:firstLine="2977"/>
        <w:rPr>
          <w:rFonts w:ascii="Google Sans" w:eastAsia="Google Sans" w:hAnsi="Google Sans" w:cs="Google Sans"/>
          <w:b/>
          <w:bCs/>
          <w:color w:val="1F1F1F"/>
        </w:rPr>
      </w:pPr>
      <w:r w:rsidRPr="00AE4686">
        <w:rPr>
          <w:rFonts w:ascii="Google Sans" w:eastAsia="Google Sans" w:hAnsi="Google Sans" w:cs="Google Sans"/>
          <w:b/>
          <w:bCs/>
          <w:noProof/>
          <w:color w:val="1F1F1F"/>
        </w:rPr>
        <w:drawing>
          <wp:inline distT="0" distB="0" distL="0" distR="0" wp14:anchorId="785690C7" wp14:editId="76E59668">
            <wp:extent cx="1645700" cy="1645700"/>
            <wp:effectExtent l="0" t="0" r="0" b="0"/>
            <wp:docPr id="18159569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3883" cy="1663883"/>
                    </a:xfrm>
                    <a:prstGeom prst="rect">
                      <a:avLst/>
                    </a:prstGeom>
                    <a:noFill/>
                    <a:ln>
                      <a:noFill/>
                    </a:ln>
                  </pic:spPr>
                </pic:pic>
              </a:graphicData>
            </a:graphic>
          </wp:inline>
        </w:drawing>
      </w:r>
    </w:p>
    <w:p w14:paraId="439FB8D0" w14:textId="77777777" w:rsidR="00AE4686" w:rsidRDefault="00AE4686">
      <w:pPr>
        <w:pBdr>
          <w:top w:val="nil"/>
          <w:left w:val="nil"/>
          <w:bottom w:val="nil"/>
          <w:right w:val="nil"/>
          <w:between w:val="nil"/>
        </w:pBdr>
        <w:spacing w:line="275" w:lineRule="auto"/>
        <w:rPr>
          <w:rFonts w:ascii="Google Sans" w:eastAsia="Google Sans" w:hAnsi="Google Sans" w:cs="Google Sans"/>
          <w:b/>
          <w:bCs/>
          <w:color w:val="1F1F1F"/>
        </w:rPr>
      </w:pPr>
    </w:p>
    <w:p w14:paraId="4D3D13EB" w14:textId="77777777" w:rsidR="00AE4686" w:rsidRDefault="00AE4686">
      <w:pPr>
        <w:pBdr>
          <w:top w:val="nil"/>
          <w:left w:val="nil"/>
          <w:bottom w:val="nil"/>
          <w:right w:val="nil"/>
          <w:between w:val="nil"/>
        </w:pBdr>
        <w:spacing w:line="275" w:lineRule="auto"/>
        <w:rPr>
          <w:rFonts w:ascii="Google Sans" w:eastAsia="Google Sans" w:hAnsi="Google Sans" w:cs="Google Sans"/>
          <w:b/>
          <w:bCs/>
          <w:color w:val="1F1F1F"/>
        </w:rPr>
      </w:pPr>
    </w:p>
    <w:p w14:paraId="5CA8AD7C" w14:textId="09C0B192" w:rsidR="009E39C3" w:rsidRDefault="00000000" w:rsidP="00281D70">
      <w:pPr>
        <w:pBdr>
          <w:top w:val="nil"/>
          <w:left w:val="nil"/>
          <w:bottom w:val="nil"/>
          <w:right w:val="nil"/>
          <w:between w:val="nil"/>
        </w:pBdr>
        <w:spacing w:line="275" w:lineRule="auto"/>
        <w:jc w:val="center"/>
        <w:rPr>
          <w:rFonts w:ascii="Google Sans" w:eastAsia="Google Sans" w:hAnsi="Google Sans" w:cs="Google Sans"/>
          <w:b/>
          <w:bCs/>
          <w:color w:val="1F1F1F"/>
        </w:rPr>
      </w:pPr>
      <w:r>
        <w:rPr>
          <w:rFonts w:ascii="Google Sans" w:eastAsia="Google Sans" w:hAnsi="Google Sans" w:cs="Google Sans"/>
          <w:b/>
          <w:bCs/>
          <w:color w:val="1F1F1F"/>
        </w:rPr>
        <w:t>INFORME PROSPECTIVO MENSUAL DE AMENAZAS Y SEGURIDAD MULTIDIMENSIONAL EN EL PERÚ</w:t>
      </w:r>
    </w:p>
    <w:p w14:paraId="3F0A6A57" w14:textId="77777777" w:rsidR="009C27B7" w:rsidRDefault="009C27B7">
      <w:pPr>
        <w:pBdr>
          <w:top w:val="nil"/>
          <w:left w:val="nil"/>
          <w:bottom w:val="nil"/>
          <w:right w:val="nil"/>
          <w:between w:val="nil"/>
        </w:pBdr>
        <w:spacing w:line="275" w:lineRule="auto"/>
        <w:rPr>
          <w:rFonts w:ascii="Google Sans" w:eastAsia="Google Sans" w:hAnsi="Google Sans" w:cs="Google Sans"/>
          <w:b/>
          <w:bCs/>
          <w:color w:val="1F1F1F"/>
        </w:rPr>
      </w:pPr>
    </w:p>
    <w:p w14:paraId="4E1454D9" w14:textId="63368EA0" w:rsidR="009E39C3" w:rsidRDefault="00000000">
      <w:pPr>
        <w:pBdr>
          <w:top w:val="nil"/>
          <w:left w:val="nil"/>
          <w:bottom w:val="nil"/>
          <w:right w:val="nil"/>
          <w:between w:val="nil"/>
        </w:pBdr>
        <w:spacing w:line="275" w:lineRule="auto"/>
        <w:rPr>
          <w:rFonts w:ascii="Google Sans" w:eastAsia="Google Sans" w:hAnsi="Google Sans" w:cs="Google Sans"/>
          <w:color w:val="1F1F1F"/>
        </w:rPr>
      </w:pPr>
      <w:r>
        <w:rPr>
          <w:rFonts w:ascii="Google Sans" w:eastAsia="Google Sans" w:hAnsi="Google Sans" w:cs="Google Sans"/>
          <w:b/>
          <w:bCs/>
          <w:color w:val="1F1F1F"/>
        </w:rPr>
        <w:t xml:space="preserve">Fecha </w:t>
      </w:r>
      <w:r w:rsidR="009C27B7">
        <w:rPr>
          <w:rFonts w:ascii="Google Sans" w:eastAsia="Google Sans" w:hAnsi="Google Sans" w:cs="Google Sans"/>
          <w:b/>
          <w:bCs/>
          <w:color w:val="1F1F1F"/>
        </w:rPr>
        <w:t>de:</w:t>
      </w:r>
      <w:r>
        <w:rPr>
          <w:rFonts w:ascii="Google Sans" w:eastAsia="Google Sans" w:hAnsi="Google Sans" w:cs="Google Sans"/>
          <w:color w:val="1F1F1F"/>
        </w:rPr>
        <w:t xml:space="preserve"> </w:t>
      </w:r>
      <w:r w:rsidR="009C27B7">
        <w:rPr>
          <w:rFonts w:ascii="Google Sans" w:eastAsia="Google Sans" w:hAnsi="Google Sans" w:cs="Google Sans"/>
          <w:color w:val="1F1F1F"/>
        </w:rPr>
        <w:t>Agosto</w:t>
      </w:r>
      <w:r>
        <w:rPr>
          <w:rFonts w:ascii="Google Sans" w:eastAsia="Google Sans" w:hAnsi="Google Sans" w:cs="Google Sans"/>
          <w:color w:val="1F1F1F"/>
        </w:rPr>
        <w:t xml:space="preserve"> de 2026</w:t>
      </w:r>
    </w:p>
    <w:p w14:paraId="7D07EAC3" w14:textId="4951D3C8" w:rsidR="009E39C3" w:rsidRDefault="00000000">
      <w:pPr>
        <w:pBdr>
          <w:top w:val="nil"/>
          <w:left w:val="nil"/>
          <w:bottom w:val="nil"/>
          <w:right w:val="nil"/>
          <w:between w:val="nil"/>
        </w:pBdr>
        <w:spacing w:line="275" w:lineRule="auto"/>
        <w:rPr>
          <w:rFonts w:ascii="Google Sans" w:eastAsia="Google Sans" w:hAnsi="Google Sans" w:cs="Google Sans"/>
          <w:color w:val="1F1F1F"/>
        </w:rPr>
      </w:pPr>
      <w:r>
        <w:rPr>
          <w:rFonts w:ascii="Google Sans" w:eastAsia="Google Sans" w:hAnsi="Google Sans" w:cs="Google Sans"/>
          <w:b/>
          <w:bCs/>
          <w:color w:val="1F1F1F"/>
        </w:rPr>
        <w:t>Elaborado por:</w:t>
      </w:r>
      <w:r>
        <w:rPr>
          <w:rFonts w:ascii="Google Sans" w:eastAsia="Google Sans" w:hAnsi="Google Sans" w:cs="Google Sans"/>
          <w:color w:val="1F1F1F"/>
        </w:rPr>
        <w:t xml:space="preserve"> </w:t>
      </w:r>
      <w:r w:rsidR="009C27B7">
        <w:rPr>
          <w:rFonts w:ascii="Google Sans" w:eastAsia="Google Sans" w:hAnsi="Google Sans" w:cs="Google Sans"/>
          <w:color w:val="1F1F1F"/>
        </w:rPr>
        <w:t>Equipo Principal</w:t>
      </w:r>
      <w:r>
        <w:rPr>
          <w:rFonts w:ascii="Google Sans" w:eastAsia="Google Sans" w:hAnsi="Google Sans" w:cs="Google Sans"/>
          <w:color w:val="1F1F1F"/>
        </w:rPr>
        <w:t xml:space="preserve"> de Inteligencia Estratégica, Prospectiva y Seguridad Multidimensional - ONG PROSPECTIVA</w:t>
      </w:r>
    </w:p>
    <w:p w14:paraId="2C10B156" w14:textId="77777777" w:rsidR="00AE4686" w:rsidRDefault="00AE4686">
      <w:pPr>
        <w:pStyle w:val="Ttulo3"/>
        <w:spacing w:before="0" w:after="0" w:line="275" w:lineRule="auto"/>
        <w:rPr>
          <w:rFonts w:ascii="Google Sans" w:eastAsia="Google Sans" w:hAnsi="Google Sans" w:cs="Google Sans"/>
          <w:color w:val="1F1F1F"/>
        </w:rPr>
      </w:pPr>
    </w:p>
    <w:p w14:paraId="33C62431" w14:textId="5E98EEDE" w:rsidR="009E39C3" w:rsidRDefault="00000000">
      <w:pPr>
        <w:pStyle w:val="Ttulo3"/>
        <w:spacing w:before="0" w:after="0" w:line="275" w:lineRule="auto"/>
        <w:rPr>
          <w:rFonts w:ascii="Google Sans" w:eastAsia="Google Sans" w:hAnsi="Google Sans" w:cs="Google Sans"/>
          <w:color w:val="1F1F1F"/>
        </w:rPr>
      </w:pPr>
      <w:r>
        <w:rPr>
          <w:rFonts w:ascii="Google Sans" w:eastAsia="Google Sans" w:hAnsi="Google Sans" w:cs="Google Sans"/>
          <w:color w:val="1F1F1F"/>
        </w:rPr>
        <w:t>I. SÍNTESIS EJECUTIVA Y MATRIZ MENSUAL DE AMENAZAS</w:t>
      </w:r>
    </w:p>
    <w:p w14:paraId="0EE62C44" w14:textId="77777777" w:rsidR="009C27B7" w:rsidRDefault="009C27B7" w:rsidP="009C27B7">
      <w:pPr>
        <w:pBdr>
          <w:top w:val="nil"/>
          <w:left w:val="nil"/>
          <w:bottom w:val="nil"/>
          <w:right w:val="nil"/>
          <w:between w:val="nil"/>
        </w:pBdr>
        <w:spacing w:line="275" w:lineRule="auto"/>
        <w:jc w:val="both"/>
        <w:rPr>
          <w:rFonts w:ascii="Google Sans" w:eastAsia="Google Sans" w:hAnsi="Google Sans" w:cs="Google Sans"/>
          <w:b/>
          <w:bCs/>
          <w:color w:val="1F1F1F"/>
        </w:rPr>
      </w:pPr>
    </w:p>
    <w:p w14:paraId="53672E43" w14:textId="0D9E59C2" w:rsidR="009E39C3" w:rsidRDefault="00000000" w:rsidP="009C27B7">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b/>
          <w:bCs/>
          <w:color w:val="1F1F1F"/>
        </w:rPr>
        <w:t>Resumen Ejecutivo del Mes:</w:t>
      </w:r>
      <w:r>
        <w:rPr>
          <w:rFonts w:ascii="Google Sans" w:eastAsia="Google Sans" w:hAnsi="Google Sans" w:cs="Google Sans"/>
          <w:color w:val="1F1F1F"/>
        </w:rPr>
        <w:t xml:space="preserve"> Durante agosto de 2026, el Estado peruano ha enfrentado una escalada crítica en la convergencia criminal, caracterizada por la fusión operativa de las economías ilícitas (minería ilegal, narcotráfico) con la violencia urbana y la gobernanza criminal carcelaria. La minería ilegal de oro se ha consolidado como el principal motor financiero del crimen, con estimaciones de exportaciones ilícitas que superaron los US$ 11,500 millones en 2025. Esta liquidez ha permitido a las megabandas sofisticar su violencia, evidenciado en el uso de tácticas de suplantación de fuerzas de élite policiales para la ejecución de secuestros. Ante el desborde, el Ejecutivo ha optado por la institucionalización de la excepcionalidad mediante la declaratoria de múltiples estados de emergencia (Lima, Callao, Cajamarca y Madre de Dios) y un pedido de facultades legislativas que busca involucrar a las Fuerzas Armadas (FF.AA.) en el control penitenciario y reclasificar a las bandas criminales como "grupos hostiles" o terroristas.</w:t>
      </w:r>
    </w:p>
    <w:p w14:paraId="4BFB6732" w14:textId="77777777" w:rsidR="009C27B7" w:rsidRDefault="009C27B7">
      <w:pPr>
        <w:pBdr>
          <w:top w:val="nil"/>
          <w:left w:val="nil"/>
          <w:bottom w:val="nil"/>
          <w:right w:val="nil"/>
          <w:between w:val="nil"/>
        </w:pBdr>
        <w:spacing w:line="275" w:lineRule="auto"/>
        <w:rPr>
          <w:rFonts w:ascii="Google Sans" w:eastAsia="Google Sans" w:hAnsi="Google Sans" w:cs="Google Sans"/>
          <w:b/>
          <w:bCs/>
          <w:color w:val="1F1F1F"/>
        </w:rPr>
      </w:pPr>
    </w:p>
    <w:p w14:paraId="38669E9A" w14:textId="2F3CD671"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Matriz Mensual de Amenazas:</w:t>
      </w:r>
    </w:p>
    <w:tbl>
      <w:tblPr>
        <w:tblStyle w:val="a"/>
        <w:tblW w:w="9360" w:type="dxa"/>
        <w:tblInd w:w="0" w:type="dxa"/>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ayout w:type="fixed"/>
        <w:tblLook w:val="0600" w:firstRow="0" w:lastRow="0" w:firstColumn="0" w:lastColumn="0" w:noHBand="1" w:noVBand="1"/>
      </w:tblPr>
      <w:tblGrid>
        <w:gridCol w:w="2340"/>
        <w:gridCol w:w="2340"/>
        <w:gridCol w:w="2340"/>
        <w:gridCol w:w="2340"/>
      </w:tblGrid>
      <w:tr w:rsidR="009E39C3" w14:paraId="1667E513" w14:textId="77777777">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3DF40C0"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b/>
                <w:bCs/>
                <w:color w:val="1F1F1F"/>
              </w:rPr>
            </w:pPr>
            <w:r>
              <w:rPr>
                <w:rFonts w:ascii="Google Sans" w:eastAsia="Google Sans" w:hAnsi="Google Sans" w:cs="Google Sans"/>
                <w:b/>
                <w:bCs/>
                <w:color w:val="1F1F1F"/>
              </w:rPr>
              <w:t>Línea de Investigación Estratégica</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6C3F88B"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b/>
                <w:bCs/>
                <w:color w:val="1F1F1F"/>
              </w:rPr>
            </w:pPr>
            <w:r>
              <w:rPr>
                <w:rFonts w:ascii="Google Sans" w:eastAsia="Google Sans" w:hAnsi="Google Sans" w:cs="Google Sans"/>
                <w:b/>
                <w:bCs/>
                <w:color w:val="1F1F1F"/>
              </w:rPr>
              <w:t>Nivel de Riesgo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722AA77"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b/>
                <w:bCs/>
                <w:color w:val="1F1F1F"/>
              </w:rPr>
            </w:pPr>
            <w:r>
              <w:rPr>
                <w:rFonts w:ascii="Google Sans" w:eastAsia="Google Sans" w:hAnsi="Google Sans" w:cs="Google Sans"/>
                <w:b/>
                <w:bCs/>
                <w:color w:val="1F1F1F"/>
              </w:rPr>
              <w:t>Tendencia</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7F25306"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b/>
                <w:bCs/>
                <w:color w:val="1F1F1F"/>
              </w:rPr>
            </w:pPr>
            <w:r>
              <w:rPr>
                <w:rFonts w:ascii="Google Sans" w:eastAsia="Google Sans" w:hAnsi="Google Sans" w:cs="Google Sans"/>
                <w:b/>
                <w:bCs/>
                <w:color w:val="1F1F1F"/>
              </w:rPr>
              <w:t>Foco Geográfico Principal</w:t>
            </w:r>
          </w:p>
        </w:tc>
      </w:tr>
      <w:tr w:rsidR="009E39C3" w14:paraId="5937B511" w14:textId="77777777">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ACBBFDA"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 xml:space="preserve">1. Corrupción Sistémica y Captura </w:t>
            </w:r>
            <w:r>
              <w:rPr>
                <w:rFonts w:ascii="Google Sans" w:eastAsia="Google Sans" w:hAnsi="Google Sans" w:cs="Google Sans"/>
                <w:color w:val="1F1F1F"/>
              </w:rPr>
              <w:lastRenderedPageBreak/>
              <w:t>del Estado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58BDFA4"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lastRenderedPageBreak/>
              <w:t>Crítico Sistémico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20F816D"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Creciente</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7E50D2F"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 xml:space="preserve">Lima, La Libertad, </w:t>
            </w:r>
            <w:r>
              <w:rPr>
                <w:rFonts w:ascii="Google Sans" w:eastAsia="Google Sans" w:hAnsi="Google Sans" w:cs="Google Sans"/>
                <w:color w:val="1F1F1F"/>
              </w:rPr>
              <w:lastRenderedPageBreak/>
              <w:t>San Martín</w:t>
            </w:r>
          </w:p>
        </w:tc>
      </w:tr>
      <w:tr w:rsidR="009E39C3" w14:paraId="704EA098" w14:textId="77777777">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92A23B8"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2. Convergencia Criminal y Economías Ilícitas</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0A91BD0"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Crítico Sistémico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29CEFD4"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Creciente</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9A955D4"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Madre de Dios, Loreto, Pataz, Puno</w:t>
            </w:r>
          </w:p>
        </w:tc>
      </w:tr>
      <w:tr w:rsidR="009E39C3" w14:paraId="17A3AD12" w14:textId="77777777">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373EDB8"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3. Delitos Complejos y Violencia de Impacto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173611E"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Crítico Sistémico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2619B5C"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Creciente</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591DBA3"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Lima Metropolitana, Trujillo, Piura</w:t>
            </w:r>
          </w:p>
        </w:tc>
      </w:tr>
      <w:tr w:rsidR="009E39C3" w14:paraId="46CB45EC" w14:textId="77777777">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D334F7F"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4. Actores Armados Asimétricos y Terrorismo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47DB1AD"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Medio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515FB1C"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Estable</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74F4307"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VRAEM, Triple Frontera (Loreto)</w:t>
            </w:r>
          </w:p>
        </w:tc>
      </w:tr>
      <w:tr w:rsidR="009E39C3" w14:paraId="6F03F5F4" w14:textId="77777777">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F465B87"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5. Riesgos Tecnológicos y Cibercriminalidad</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932405B"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Alto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7DBB5B5"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Estable</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2D6A1A5"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Ecosistema Digital Nacional</w:t>
            </w:r>
          </w:p>
        </w:tc>
      </w:tr>
      <w:tr w:rsidR="009E39C3" w14:paraId="1160CDA9" w14:textId="77777777">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05FF88A1"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6. Criminología Ambiental y Control Territorial</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7294D0C"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Crítico Sistémico</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67DA6EA"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Creciente</w:t>
            </w:r>
          </w:p>
        </w:tc>
        <w:tc>
          <w:tcPr>
            <w:tcW w:w="234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D794BE1" w14:textId="77777777" w:rsidR="009E39C3" w:rsidRDefault="00000000">
            <w:pPr>
              <w:pBdr>
                <w:top w:val="nil"/>
                <w:left w:val="nil"/>
                <w:bottom w:val="nil"/>
                <w:right w:val="nil"/>
                <w:between w:val="nil"/>
              </w:pBdr>
              <w:spacing w:before="120" w:after="120" w:line="275" w:lineRule="auto"/>
              <w:rPr>
                <w:rFonts w:ascii="Google Sans" w:eastAsia="Google Sans" w:hAnsi="Google Sans" w:cs="Google Sans"/>
                <w:color w:val="1F1F1F"/>
              </w:rPr>
            </w:pPr>
            <w:r>
              <w:rPr>
                <w:rFonts w:ascii="Google Sans" w:eastAsia="Google Sans" w:hAnsi="Google Sans" w:cs="Google Sans"/>
                <w:color w:val="1F1F1F"/>
              </w:rPr>
              <w:t>Penales Nacionales, Ejes Fronterizos</w:t>
            </w:r>
          </w:p>
        </w:tc>
      </w:tr>
    </w:tbl>
    <w:p w14:paraId="12AAD224" w14:textId="58390CC1" w:rsidR="009C27B7" w:rsidRDefault="00000000" w:rsidP="009C27B7">
      <w:pPr>
        <w:pStyle w:val="Ttulo3"/>
        <w:spacing w:before="480" w:after="0" w:line="275" w:lineRule="auto"/>
        <w:jc w:val="both"/>
      </w:pPr>
      <w:r>
        <w:rPr>
          <w:rFonts w:ascii="Google Sans" w:eastAsia="Google Sans" w:hAnsi="Google Sans" w:cs="Google Sans"/>
          <w:color w:val="1F1F1F"/>
        </w:rPr>
        <w:t xml:space="preserve">II. </w:t>
      </w:r>
      <w:r w:rsidR="009C27B7">
        <w:t>MAPEO MULTIDIMENSIONAL DE AMENAZAS POR LÍNEAS ESTRATÉGICAS</w:t>
      </w:r>
    </w:p>
    <w:p w14:paraId="06A67843" w14:textId="77777777" w:rsidR="009C27B7" w:rsidRPr="009C27B7" w:rsidRDefault="009C27B7" w:rsidP="009C27B7"/>
    <w:p w14:paraId="2A877358" w14:textId="06B2C135"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Línea 1: Corrupción Sistémica y Captura del Estado</w:t>
      </w:r>
    </w:p>
    <w:p w14:paraId="772E2299" w14:textId="77777777" w:rsidR="009C27B7" w:rsidRDefault="009C27B7">
      <w:pPr>
        <w:pBdr>
          <w:top w:val="nil"/>
          <w:left w:val="nil"/>
          <w:bottom w:val="nil"/>
          <w:right w:val="nil"/>
          <w:between w:val="nil"/>
        </w:pBdr>
        <w:spacing w:line="275" w:lineRule="auto"/>
        <w:rPr>
          <w:rFonts w:ascii="Google Sans" w:eastAsia="Google Sans" w:hAnsi="Google Sans" w:cs="Google Sans"/>
          <w:b/>
          <w:bCs/>
          <w:color w:val="1F1F1F"/>
        </w:rPr>
      </w:pPr>
    </w:p>
    <w:p w14:paraId="2960B696" w14:textId="77777777" w:rsidR="009E39C3" w:rsidRDefault="00000000">
      <w:pPr>
        <w:numPr>
          <w:ilvl w:val="0"/>
          <w:numId w:val="1"/>
        </w:numPr>
        <w:pBdr>
          <w:top w:val="nil"/>
          <w:left w:val="nil"/>
          <w:bottom w:val="nil"/>
          <w:right w:val="nil"/>
          <w:between w:val="nil"/>
        </w:pBdr>
        <w:spacing w:line="275" w:lineRule="auto"/>
      </w:pPr>
      <w:r>
        <w:rPr>
          <w:rFonts w:ascii="Google Sans" w:eastAsia="Google Sans" w:hAnsi="Google Sans" w:cs="Google Sans"/>
          <w:b/>
          <w:bCs/>
          <w:color w:val="1F1F1F"/>
        </w:rPr>
        <w:t>Fechas/Ventana:</w:t>
      </w:r>
      <w:r>
        <w:rPr>
          <w:rFonts w:ascii="Google Sans" w:eastAsia="Google Sans" w:hAnsi="Google Sans" w:cs="Google Sans"/>
          <w:color w:val="1F1F1F"/>
        </w:rPr>
        <w:t xml:space="preserve"> 20 al 31 de agosto de 2026.</w:t>
      </w:r>
    </w:p>
    <w:p w14:paraId="7E495422" w14:textId="77777777" w:rsidR="009E39C3" w:rsidRDefault="00000000" w:rsidP="009C27B7">
      <w:pPr>
        <w:numPr>
          <w:ilvl w:val="0"/>
          <w:numId w:val="1"/>
        </w:numPr>
        <w:pBdr>
          <w:top w:val="nil"/>
          <w:left w:val="nil"/>
          <w:bottom w:val="nil"/>
          <w:right w:val="nil"/>
          <w:between w:val="nil"/>
        </w:pBdr>
        <w:spacing w:line="275" w:lineRule="auto"/>
        <w:jc w:val="both"/>
      </w:pPr>
      <w:r>
        <w:rPr>
          <w:rFonts w:ascii="Google Sans" w:eastAsia="Google Sans" w:hAnsi="Google Sans" w:cs="Google Sans"/>
          <w:b/>
          <w:bCs/>
          <w:color w:val="1F1F1F"/>
        </w:rPr>
        <w:t>Hechos Relevantes:</w:t>
      </w:r>
      <w:r>
        <w:rPr>
          <w:rFonts w:ascii="Google Sans" w:eastAsia="Google Sans" w:hAnsi="Google Sans" w:cs="Google Sans"/>
          <w:color w:val="1F1F1F"/>
        </w:rPr>
        <w:t xml:space="preserve"> La Defensoría del Pueblo emitió una declaración institucional reconociendo que la Policía Nacional del Perú (PNP) ha sido infiltrada por organizaciones criminales. Se ejecutaron allanamientos contra cinco efectivos de la División de Seguridad de Penales (DIRSEINT-PNP) por presunta colusión en el direccionamiento de raciones alimenticias (ROUD) entre 2024 y 2026. En el ámbito político subnacional, se verificó que un candidato al Gobierno Regional de San Martín mantiene investigaciones abiertas por lavado de activos y proxenetismo.</w:t>
      </w:r>
    </w:p>
    <w:p w14:paraId="5E2D8CAB" w14:textId="77777777" w:rsidR="009E39C3" w:rsidRDefault="00000000">
      <w:pPr>
        <w:numPr>
          <w:ilvl w:val="0"/>
          <w:numId w:val="1"/>
        </w:numPr>
        <w:pBdr>
          <w:top w:val="nil"/>
          <w:left w:val="nil"/>
          <w:bottom w:val="nil"/>
          <w:right w:val="nil"/>
          <w:between w:val="nil"/>
        </w:pBdr>
        <w:spacing w:line="275" w:lineRule="auto"/>
      </w:pPr>
      <w:r>
        <w:rPr>
          <w:rFonts w:ascii="Google Sans" w:eastAsia="Google Sans" w:hAnsi="Google Sans" w:cs="Google Sans"/>
          <w:b/>
          <w:bCs/>
          <w:color w:val="1F1F1F"/>
        </w:rPr>
        <w:t>Ubicación:</w:t>
      </w:r>
      <w:r>
        <w:rPr>
          <w:rFonts w:ascii="Google Sans" w:eastAsia="Google Sans" w:hAnsi="Google Sans" w:cs="Google Sans"/>
          <w:color w:val="1F1F1F"/>
        </w:rPr>
        <w:t xml:space="preserve"> Lima Metropolitana, Callao, San Martín.</w:t>
      </w:r>
    </w:p>
    <w:p w14:paraId="147A60C1" w14:textId="77777777" w:rsidR="009E39C3" w:rsidRDefault="00000000">
      <w:pPr>
        <w:numPr>
          <w:ilvl w:val="0"/>
          <w:numId w:val="1"/>
        </w:numPr>
        <w:pBdr>
          <w:top w:val="nil"/>
          <w:left w:val="nil"/>
          <w:bottom w:val="nil"/>
          <w:right w:val="nil"/>
          <w:between w:val="nil"/>
        </w:pBdr>
        <w:spacing w:line="275" w:lineRule="auto"/>
      </w:pPr>
      <w:r>
        <w:rPr>
          <w:rFonts w:ascii="Google Sans" w:eastAsia="Google Sans" w:hAnsi="Google Sans" w:cs="Google Sans"/>
          <w:b/>
          <w:bCs/>
          <w:color w:val="1F1F1F"/>
        </w:rPr>
        <w:lastRenderedPageBreak/>
        <w:t>Acciones del Estado:</w:t>
      </w:r>
      <w:r>
        <w:rPr>
          <w:rFonts w:ascii="Google Sans" w:eastAsia="Google Sans" w:hAnsi="Google Sans" w:cs="Google Sans"/>
          <w:color w:val="1F1F1F"/>
        </w:rPr>
        <w:t xml:space="preserve"> Diligencias de la Fiscalía Anticorrupción y </w:t>
      </w:r>
      <w:proofErr w:type="spellStart"/>
      <w:r>
        <w:rPr>
          <w:rFonts w:ascii="Google Sans" w:eastAsia="Google Sans" w:hAnsi="Google Sans" w:cs="Google Sans"/>
          <w:color w:val="1F1F1F"/>
        </w:rPr>
        <w:t>Dircocor</w:t>
      </w:r>
      <w:proofErr w:type="spellEnd"/>
      <w:r>
        <w:rPr>
          <w:rFonts w:ascii="Google Sans" w:eastAsia="Google Sans" w:hAnsi="Google Sans" w:cs="Google Sans"/>
          <w:color w:val="1F1F1F"/>
        </w:rPr>
        <w:t>-PNP.</w:t>
      </w:r>
    </w:p>
    <w:p w14:paraId="35DE7D6B" w14:textId="77777777" w:rsidR="009E39C3" w:rsidRPr="00281D70" w:rsidRDefault="00000000">
      <w:pPr>
        <w:numPr>
          <w:ilvl w:val="0"/>
          <w:numId w:val="1"/>
        </w:numPr>
        <w:pBdr>
          <w:top w:val="nil"/>
          <w:left w:val="nil"/>
          <w:bottom w:val="nil"/>
          <w:right w:val="nil"/>
          <w:between w:val="nil"/>
        </w:pBdr>
        <w:spacing w:line="275" w:lineRule="auto"/>
      </w:pPr>
      <w:r>
        <w:rPr>
          <w:rFonts w:ascii="Google Sans" w:eastAsia="Google Sans" w:hAnsi="Google Sans" w:cs="Google Sans"/>
          <w:b/>
          <w:bCs/>
          <w:color w:val="1F1F1F"/>
        </w:rPr>
        <w:t>Nivel de Impacto:</w:t>
      </w:r>
      <w:r>
        <w:rPr>
          <w:rFonts w:ascii="Google Sans" w:eastAsia="Google Sans" w:hAnsi="Google Sans" w:cs="Google Sans"/>
          <w:color w:val="1F1F1F"/>
        </w:rPr>
        <w:t xml:space="preserve"> Crítico. Evidencia la vulneración del aparato de seguridad desde sus propias estructuras de control logístico.</w:t>
      </w:r>
    </w:p>
    <w:p w14:paraId="36369A0B" w14:textId="77777777" w:rsidR="00281D70" w:rsidRDefault="00281D70" w:rsidP="00281D70">
      <w:pPr>
        <w:pBdr>
          <w:top w:val="nil"/>
          <w:left w:val="nil"/>
          <w:bottom w:val="nil"/>
          <w:right w:val="nil"/>
          <w:between w:val="nil"/>
        </w:pBdr>
        <w:spacing w:line="275" w:lineRule="auto"/>
        <w:ind w:left="590"/>
      </w:pPr>
    </w:p>
    <w:p w14:paraId="4C3481B7" w14:textId="77777777" w:rsidR="009C27B7" w:rsidRDefault="009C27B7">
      <w:pPr>
        <w:pBdr>
          <w:top w:val="nil"/>
          <w:left w:val="nil"/>
          <w:bottom w:val="nil"/>
          <w:right w:val="nil"/>
          <w:between w:val="nil"/>
        </w:pBdr>
        <w:spacing w:line="275" w:lineRule="auto"/>
        <w:rPr>
          <w:rFonts w:ascii="Google Sans" w:eastAsia="Google Sans" w:hAnsi="Google Sans" w:cs="Google Sans"/>
          <w:b/>
          <w:bCs/>
          <w:color w:val="1F1F1F"/>
        </w:rPr>
      </w:pPr>
    </w:p>
    <w:p w14:paraId="337E3947" w14:textId="3FF24457"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Línea 2: Convergencia Criminal y Economías Ilícitas Transnacionales</w:t>
      </w:r>
    </w:p>
    <w:p w14:paraId="4B38AB17" w14:textId="77777777" w:rsidR="009C27B7" w:rsidRDefault="009C27B7">
      <w:pPr>
        <w:pBdr>
          <w:top w:val="nil"/>
          <w:left w:val="nil"/>
          <w:bottom w:val="nil"/>
          <w:right w:val="nil"/>
          <w:between w:val="nil"/>
        </w:pBdr>
        <w:spacing w:line="275" w:lineRule="auto"/>
        <w:rPr>
          <w:rFonts w:ascii="Google Sans" w:eastAsia="Google Sans" w:hAnsi="Google Sans" w:cs="Google Sans"/>
          <w:b/>
          <w:bCs/>
          <w:color w:val="1F1F1F"/>
        </w:rPr>
      </w:pPr>
    </w:p>
    <w:p w14:paraId="0C68369B" w14:textId="77777777" w:rsidR="009E39C3" w:rsidRDefault="00000000" w:rsidP="009C27B7">
      <w:pPr>
        <w:numPr>
          <w:ilvl w:val="0"/>
          <w:numId w:val="2"/>
        </w:numPr>
        <w:pBdr>
          <w:top w:val="nil"/>
          <w:left w:val="nil"/>
          <w:bottom w:val="nil"/>
          <w:right w:val="nil"/>
          <w:between w:val="nil"/>
        </w:pBdr>
        <w:spacing w:line="275" w:lineRule="auto"/>
        <w:jc w:val="both"/>
      </w:pPr>
      <w:r>
        <w:rPr>
          <w:rFonts w:ascii="Google Sans" w:eastAsia="Google Sans" w:hAnsi="Google Sans" w:cs="Google Sans"/>
          <w:b/>
          <w:bCs/>
          <w:color w:val="1F1F1F"/>
        </w:rPr>
        <w:t>Fechas/Ventana:</w:t>
      </w:r>
      <w:r>
        <w:rPr>
          <w:rFonts w:ascii="Google Sans" w:eastAsia="Google Sans" w:hAnsi="Google Sans" w:cs="Google Sans"/>
          <w:color w:val="1F1F1F"/>
        </w:rPr>
        <w:t xml:space="preserve"> 01 al 30 de agosto de 2026.</w:t>
      </w:r>
    </w:p>
    <w:p w14:paraId="15039BAC" w14:textId="77777777" w:rsidR="009E39C3" w:rsidRDefault="00000000" w:rsidP="009C27B7">
      <w:pPr>
        <w:numPr>
          <w:ilvl w:val="0"/>
          <w:numId w:val="2"/>
        </w:numPr>
        <w:pBdr>
          <w:top w:val="nil"/>
          <w:left w:val="nil"/>
          <w:bottom w:val="nil"/>
          <w:right w:val="nil"/>
          <w:between w:val="nil"/>
        </w:pBdr>
        <w:spacing w:line="275" w:lineRule="auto"/>
        <w:jc w:val="both"/>
      </w:pPr>
      <w:r>
        <w:rPr>
          <w:rFonts w:ascii="Google Sans" w:eastAsia="Google Sans" w:hAnsi="Google Sans" w:cs="Google Sans"/>
          <w:b/>
          <w:bCs/>
          <w:color w:val="1F1F1F"/>
        </w:rPr>
        <w:t>Hechos Relevantes:</w:t>
      </w:r>
      <w:r>
        <w:rPr>
          <w:rFonts w:ascii="Google Sans" w:eastAsia="Google Sans" w:hAnsi="Google Sans" w:cs="Google Sans"/>
          <w:color w:val="1F1F1F"/>
        </w:rPr>
        <w:t xml:space="preserve"> La minería ilegal concentró la mayor respuesta estatal, con 90 operativos de interdicción en la primera quincena de agosto y la destrucción de más de S/ 326 millones en bienes, principalmente en Madre de Dios. Se documentó un enfrentamiento armado entre bandas por el control aurífero en La Pampa, así como el rescate de 52 víctimas de trata de personas vinculadas a la minería en La Rinconada, Puno. Las mafias continúan utilizando el Registro Integral de Formalización Minera (REINFO) como escudo legal para el lavado de activos, acumulando patrimonios millonarios en Pataz y Trujillo sin tener contratos de explotación vigentes.</w:t>
      </w:r>
    </w:p>
    <w:p w14:paraId="4677D446" w14:textId="77777777" w:rsidR="009E39C3" w:rsidRDefault="00000000" w:rsidP="009C27B7">
      <w:pPr>
        <w:numPr>
          <w:ilvl w:val="0"/>
          <w:numId w:val="2"/>
        </w:numPr>
        <w:pBdr>
          <w:top w:val="nil"/>
          <w:left w:val="nil"/>
          <w:bottom w:val="nil"/>
          <w:right w:val="nil"/>
          <w:between w:val="nil"/>
        </w:pBdr>
        <w:spacing w:line="275" w:lineRule="auto"/>
        <w:jc w:val="both"/>
      </w:pPr>
      <w:r>
        <w:rPr>
          <w:rFonts w:ascii="Google Sans" w:eastAsia="Google Sans" w:hAnsi="Google Sans" w:cs="Google Sans"/>
          <w:b/>
          <w:bCs/>
          <w:color w:val="1F1F1F"/>
        </w:rPr>
        <w:t>Ubicación:</w:t>
      </w:r>
      <w:r>
        <w:rPr>
          <w:rFonts w:ascii="Google Sans" w:eastAsia="Google Sans" w:hAnsi="Google Sans" w:cs="Google Sans"/>
          <w:color w:val="1F1F1F"/>
        </w:rPr>
        <w:t xml:space="preserve"> Madre de Dios (La Pampa), Puno (La Rinconada), La Libertad (Pataz), Loreto (Río Nanay).</w:t>
      </w:r>
    </w:p>
    <w:p w14:paraId="7E176382" w14:textId="77777777" w:rsidR="009E39C3" w:rsidRDefault="00000000" w:rsidP="009C27B7">
      <w:pPr>
        <w:numPr>
          <w:ilvl w:val="0"/>
          <w:numId w:val="2"/>
        </w:numPr>
        <w:pBdr>
          <w:top w:val="nil"/>
          <w:left w:val="nil"/>
          <w:bottom w:val="nil"/>
          <w:right w:val="nil"/>
          <w:between w:val="nil"/>
        </w:pBdr>
        <w:spacing w:line="275" w:lineRule="auto"/>
        <w:jc w:val="both"/>
      </w:pPr>
      <w:r>
        <w:rPr>
          <w:rFonts w:ascii="Google Sans" w:eastAsia="Google Sans" w:hAnsi="Google Sans" w:cs="Google Sans"/>
          <w:b/>
          <w:bCs/>
          <w:color w:val="1F1F1F"/>
        </w:rPr>
        <w:t>Acciones del Estado:</w:t>
      </w:r>
      <w:r>
        <w:rPr>
          <w:rFonts w:ascii="Google Sans" w:eastAsia="Google Sans" w:hAnsi="Google Sans" w:cs="Google Sans"/>
          <w:color w:val="1F1F1F"/>
        </w:rPr>
        <w:t xml:space="preserve"> Declaratoria de estado de emergencia en 10 distritos de Cajamarca y 6 de Madre de Dios.</w:t>
      </w:r>
    </w:p>
    <w:p w14:paraId="62516983" w14:textId="77777777" w:rsidR="009E39C3" w:rsidRPr="009C27B7" w:rsidRDefault="00000000" w:rsidP="009C27B7">
      <w:pPr>
        <w:numPr>
          <w:ilvl w:val="0"/>
          <w:numId w:val="2"/>
        </w:numPr>
        <w:pBdr>
          <w:top w:val="nil"/>
          <w:left w:val="nil"/>
          <w:bottom w:val="nil"/>
          <w:right w:val="nil"/>
          <w:between w:val="nil"/>
        </w:pBdr>
        <w:spacing w:line="275" w:lineRule="auto"/>
        <w:jc w:val="both"/>
      </w:pPr>
      <w:r>
        <w:rPr>
          <w:rFonts w:ascii="Google Sans" w:eastAsia="Google Sans" w:hAnsi="Google Sans" w:cs="Google Sans"/>
          <w:b/>
          <w:bCs/>
          <w:color w:val="1F1F1F"/>
        </w:rPr>
        <w:t>Nivel de Impacto:</w:t>
      </w:r>
      <w:r>
        <w:rPr>
          <w:rFonts w:ascii="Google Sans" w:eastAsia="Google Sans" w:hAnsi="Google Sans" w:cs="Google Sans"/>
          <w:color w:val="1F1F1F"/>
        </w:rPr>
        <w:t xml:space="preserve"> Crítico Sistémico.</w:t>
      </w:r>
    </w:p>
    <w:p w14:paraId="553ED7C2" w14:textId="77777777" w:rsidR="009C27B7" w:rsidRDefault="009C27B7" w:rsidP="009C27B7">
      <w:pPr>
        <w:pBdr>
          <w:top w:val="nil"/>
          <w:left w:val="nil"/>
          <w:bottom w:val="nil"/>
          <w:right w:val="nil"/>
          <w:between w:val="nil"/>
        </w:pBdr>
        <w:spacing w:line="275" w:lineRule="auto"/>
        <w:ind w:left="590"/>
        <w:jc w:val="both"/>
      </w:pPr>
    </w:p>
    <w:p w14:paraId="6849A705" w14:textId="77777777"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Línea 3: Delitos Complejos y Violencia de Alto Impacto</w:t>
      </w:r>
    </w:p>
    <w:p w14:paraId="70BAC595" w14:textId="77777777" w:rsidR="009C27B7" w:rsidRDefault="009C27B7">
      <w:pPr>
        <w:pBdr>
          <w:top w:val="nil"/>
          <w:left w:val="nil"/>
          <w:bottom w:val="nil"/>
          <w:right w:val="nil"/>
          <w:between w:val="nil"/>
        </w:pBdr>
        <w:spacing w:line="275" w:lineRule="auto"/>
        <w:rPr>
          <w:rFonts w:ascii="Google Sans" w:eastAsia="Google Sans" w:hAnsi="Google Sans" w:cs="Google Sans"/>
          <w:b/>
          <w:bCs/>
          <w:color w:val="1F1F1F"/>
        </w:rPr>
      </w:pPr>
    </w:p>
    <w:p w14:paraId="6C996240" w14:textId="77777777" w:rsidR="009E39C3" w:rsidRDefault="00000000">
      <w:pPr>
        <w:numPr>
          <w:ilvl w:val="0"/>
          <w:numId w:val="3"/>
        </w:numPr>
        <w:pBdr>
          <w:top w:val="nil"/>
          <w:left w:val="nil"/>
          <w:bottom w:val="nil"/>
          <w:right w:val="nil"/>
          <w:between w:val="nil"/>
        </w:pBdr>
        <w:spacing w:line="275" w:lineRule="auto"/>
      </w:pPr>
      <w:r>
        <w:rPr>
          <w:rFonts w:ascii="Google Sans" w:eastAsia="Google Sans" w:hAnsi="Google Sans" w:cs="Google Sans"/>
          <w:b/>
          <w:bCs/>
          <w:color w:val="1F1F1F"/>
        </w:rPr>
        <w:t>Fechas/Ventana:</w:t>
      </w:r>
      <w:r>
        <w:rPr>
          <w:rFonts w:ascii="Google Sans" w:eastAsia="Google Sans" w:hAnsi="Google Sans" w:cs="Google Sans"/>
          <w:color w:val="1F1F1F"/>
        </w:rPr>
        <w:t xml:space="preserve"> 19 al 31 de agosto de 2026.</w:t>
      </w:r>
    </w:p>
    <w:p w14:paraId="535B1F9E" w14:textId="77777777" w:rsidR="009E39C3" w:rsidRDefault="00000000" w:rsidP="00474FC9">
      <w:pPr>
        <w:numPr>
          <w:ilvl w:val="0"/>
          <w:numId w:val="3"/>
        </w:numPr>
        <w:pBdr>
          <w:top w:val="nil"/>
          <w:left w:val="nil"/>
          <w:bottom w:val="nil"/>
          <w:right w:val="nil"/>
          <w:between w:val="nil"/>
        </w:pBdr>
        <w:spacing w:line="275" w:lineRule="auto"/>
        <w:jc w:val="both"/>
      </w:pPr>
      <w:r>
        <w:rPr>
          <w:rFonts w:ascii="Google Sans" w:eastAsia="Google Sans" w:hAnsi="Google Sans" w:cs="Google Sans"/>
          <w:b/>
          <w:bCs/>
          <w:color w:val="1F1F1F"/>
        </w:rPr>
        <w:t>Hechos Relevantes:</w:t>
      </w:r>
      <w:r>
        <w:rPr>
          <w:rFonts w:ascii="Google Sans" w:eastAsia="Google Sans" w:hAnsi="Google Sans" w:cs="Google Sans"/>
          <w:color w:val="1F1F1F"/>
        </w:rPr>
        <w:t xml:space="preserve"> Una grave crisis de extorsión afectó al gremio de transportes en Lima, derivando en el asesinato de choferes en Comas, Ancón y Villa El Salvador, y motivando un conato de paro nacional. El 30 de agosto, un comando de la organización "Los Pulpos" utilizó indumentaria táctica similar al GRECCO de la PNP para ejecutar a cuatro personas de resguardo y secuestrar a un empresario minero en el centro de Trujillo.</w:t>
      </w:r>
    </w:p>
    <w:p w14:paraId="69D8DFAA" w14:textId="77777777" w:rsidR="009E39C3" w:rsidRDefault="00000000" w:rsidP="00474FC9">
      <w:pPr>
        <w:numPr>
          <w:ilvl w:val="0"/>
          <w:numId w:val="3"/>
        </w:numPr>
        <w:pBdr>
          <w:top w:val="nil"/>
          <w:left w:val="nil"/>
          <w:bottom w:val="nil"/>
          <w:right w:val="nil"/>
          <w:between w:val="nil"/>
        </w:pBdr>
        <w:spacing w:line="275" w:lineRule="auto"/>
        <w:jc w:val="both"/>
      </w:pPr>
      <w:r>
        <w:rPr>
          <w:rFonts w:ascii="Google Sans" w:eastAsia="Google Sans" w:hAnsi="Google Sans" w:cs="Google Sans"/>
          <w:b/>
          <w:bCs/>
          <w:color w:val="1F1F1F"/>
        </w:rPr>
        <w:t>Ubicación:</w:t>
      </w:r>
      <w:r>
        <w:rPr>
          <w:rFonts w:ascii="Google Sans" w:eastAsia="Google Sans" w:hAnsi="Google Sans" w:cs="Google Sans"/>
          <w:color w:val="1F1F1F"/>
        </w:rPr>
        <w:t xml:space="preserve"> Lima Metropolitana, Trujillo (La Libertad).</w:t>
      </w:r>
    </w:p>
    <w:p w14:paraId="400972D8" w14:textId="77777777" w:rsidR="009E39C3" w:rsidRDefault="00000000" w:rsidP="00474FC9">
      <w:pPr>
        <w:numPr>
          <w:ilvl w:val="0"/>
          <w:numId w:val="3"/>
        </w:numPr>
        <w:pBdr>
          <w:top w:val="nil"/>
          <w:left w:val="nil"/>
          <w:bottom w:val="nil"/>
          <w:right w:val="nil"/>
          <w:between w:val="nil"/>
        </w:pBdr>
        <w:spacing w:line="275" w:lineRule="auto"/>
        <w:jc w:val="both"/>
      </w:pPr>
      <w:r>
        <w:rPr>
          <w:rFonts w:ascii="Google Sans" w:eastAsia="Google Sans" w:hAnsi="Google Sans" w:cs="Google Sans"/>
          <w:b/>
          <w:bCs/>
          <w:color w:val="1F1F1F"/>
        </w:rPr>
        <w:t>Acciones del Estado:</w:t>
      </w:r>
      <w:r>
        <w:rPr>
          <w:rFonts w:ascii="Google Sans" w:eastAsia="Google Sans" w:hAnsi="Google Sans" w:cs="Google Sans"/>
          <w:color w:val="1F1F1F"/>
        </w:rPr>
        <w:t xml:space="preserve"> La víctima del secuestro en Trujillo fue liberada tras 30 horas y se capturó a cinco miembros de la cúpula de "Los Pulpos", aunque el cabecilla principal permanece prófugo en Bolivia.</w:t>
      </w:r>
    </w:p>
    <w:p w14:paraId="6746DA52" w14:textId="1E1994B0" w:rsidR="00474FC9" w:rsidRPr="00474FC9" w:rsidRDefault="00000000" w:rsidP="00474FC9">
      <w:pPr>
        <w:numPr>
          <w:ilvl w:val="0"/>
          <w:numId w:val="3"/>
        </w:numPr>
        <w:pBdr>
          <w:top w:val="nil"/>
          <w:left w:val="nil"/>
          <w:bottom w:val="nil"/>
          <w:right w:val="nil"/>
          <w:between w:val="nil"/>
        </w:pBdr>
        <w:spacing w:line="275" w:lineRule="auto"/>
        <w:jc w:val="both"/>
      </w:pPr>
      <w:r>
        <w:rPr>
          <w:rFonts w:ascii="Google Sans" w:eastAsia="Google Sans" w:hAnsi="Google Sans" w:cs="Google Sans"/>
          <w:b/>
          <w:bCs/>
          <w:color w:val="1F1F1F"/>
        </w:rPr>
        <w:t>Nivel de Impacto:</w:t>
      </w:r>
      <w:r>
        <w:rPr>
          <w:rFonts w:ascii="Google Sans" w:eastAsia="Google Sans" w:hAnsi="Google Sans" w:cs="Google Sans"/>
          <w:color w:val="1F1F1F"/>
        </w:rPr>
        <w:t xml:space="preserve"> Crítico. Máxima sofisticación operativa con suplantación de identidad estatal.</w:t>
      </w:r>
    </w:p>
    <w:p w14:paraId="67D72062" w14:textId="77777777" w:rsidR="00474FC9" w:rsidRDefault="00474FC9" w:rsidP="00474FC9">
      <w:pPr>
        <w:pBdr>
          <w:top w:val="nil"/>
          <w:left w:val="nil"/>
          <w:bottom w:val="nil"/>
          <w:right w:val="nil"/>
          <w:between w:val="nil"/>
        </w:pBdr>
        <w:spacing w:line="275" w:lineRule="auto"/>
        <w:ind w:left="590"/>
      </w:pPr>
    </w:p>
    <w:p w14:paraId="00F170C9" w14:textId="77777777"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Línea 4: Actores Armados Asimétricos y Convergencia Terrorista</w:t>
      </w:r>
    </w:p>
    <w:p w14:paraId="45E29B60" w14:textId="77777777" w:rsidR="00474FC9" w:rsidRDefault="00474FC9">
      <w:pPr>
        <w:pBdr>
          <w:top w:val="nil"/>
          <w:left w:val="nil"/>
          <w:bottom w:val="nil"/>
          <w:right w:val="nil"/>
          <w:between w:val="nil"/>
        </w:pBdr>
        <w:spacing w:line="275" w:lineRule="auto"/>
        <w:rPr>
          <w:rFonts w:ascii="Google Sans" w:eastAsia="Google Sans" w:hAnsi="Google Sans" w:cs="Google Sans"/>
          <w:b/>
          <w:bCs/>
          <w:color w:val="1F1F1F"/>
        </w:rPr>
      </w:pPr>
    </w:p>
    <w:p w14:paraId="49809108" w14:textId="77777777" w:rsidR="009E39C3" w:rsidRDefault="00000000" w:rsidP="00474FC9">
      <w:pPr>
        <w:numPr>
          <w:ilvl w:val="0"/>
          <w:numId w:val="4"/>
        </w:numPr>
        <w:pBdr>
          <w:top w:val="nil"/>
          <w:left w:val="nil"/>
          <w:bottom w:val="nil"/>
          <w:right w:val="nil"/>
          <w:between w:val="nil"/>
        </w:pBdr>
        <w:spacing w:line="275" w:lineRule="auto"/>
        <w:jc w:val="both"/>
      </w:pPr>
      <w:r>
        <w:rPr>
          <w:rFonts w:ascii="Google Sans" w:eastAsia="Google Sans" w:hAnsi="Google Sans" w:cs="Google Sans"/>
          <w:b/>
          <w:bCs/>
          <w:color w:val="1F1F1F"/>
        </w:rPr>
        <w:t>Fechas/Ventana:</w:t>
      </w:r>
      <w:r>
        <w:rPr>
          <w:rFonts w:ascii="Google Sans" w:eastAsia="Google Sans" w:hAnsi="Google Sans" w:cs="Google Sans"/>
          <w:color w:val="1F1F1F"/>
        </w:rPr>
        <w:t xml:space="preserve"> Julio - Agosto de 2026.</w:t>
      </w:r>
    </w:p>
    <w:p w14:paraId="6448BAB8" w14:textId="77777777" w:rsidR="009E39C3" w:rsidRDefault="00000000" w:rsidP="00474FC9">
      <w:pPr>
        <w:numPr>
          <w:ilvl w:val="0"/>
          <w:numId w:val="4"/>
        </w:numPr>
        <w:pBdr>
          <w:top w:val="nil"/>
          <w:left w:val="nil"/>
          <w:bottom w:val="nil"/>
          <w:right w:val="nil"/>
          <w:between w:val="nil"/>
        </w:pBdr>
        <w:spacing w:line="275" w:lineRule="auto"/>
        <w:jc w:val="both"/>
      </w:pPr>
      <w:r>
        <w:rPr>
          <w:rFonts w:ascii="Google Sans" w:eastAsia="Google Sans" w:hAnsi="Google Sans" w:cs="Google Sans"/>
          <w:b/>
          <w:bCs/>
          <w:color w:val="1F1F1F"/>
        </w:rPr>
        <w:t>Hechos Relevantes:</w:t>
      </w:r>
      <w:r>
        <w:rPr>
          <w:rFonts w:ascii="Google Sans" w:eastAsia="Google Sans" w:hAnsi="Google Sans" w:cs="Google Sans"/>
          <w:color w:val="1F1F1F"/>
        </w:rPr>
        <w:t xml:space="preserve"> Operaciones conjuntas de las FF.AA. y la Policía Federal de Brasil desarticularon un laboratorio y enclave logístico del "Comando </w:t>
      </w:r>
      <w:proofErr w:type="spellStart"/>
      <w:r>
        <w:rPr>
          <w:rFonts w:ascii="Google Sans" w:eastAsia="Google Sans" w:hAnsi="Google Sans" w:cs="Google Sans"/>
          <w:color w:val="1F1F1F"/>
        </w:rPr>
        <w:t>Vermelho</w:t>
      </w:r>
      <w:proofErr w:type="spellEnd"/>
      <w:r>
        <w:rPr>
          <w:rFonts w:ascii="Google Sans" w:eastAsia="Google Sans" w:hAnsi="Google Sans" w:cs="Google Sans"/>
          <w:color w:val="1F1F1F"/>
        </w:rPr>
        <w:t xml:space="preserve">" en la triple </w:t>
      </w:r>
      <w:r>
        <w:rPr>
          <w:rFonts w:ascii="Google Sans" w:eastAsia="Google Sans" w:hAnsi="Google Sans" w:cs="Google Sans"/>
          <w:color w:val="1F1F1F"/>
        </w:rPr>
        <w:lastRenderedPageBreak/>
        <w:t>frontera amazónica, deteniendo a un ciudadano colombiano con armas de largo alcance. A fines de julio se reportó el abatimiento del "Camarada Richard", mando de Sendero Luminoso en el VRAEM, y a fines de agosto se capturó a alias "Lucho", presunto mando del Comité Regional Centro, en Huancayo.</w:t>
      </w:r>
    </w:p>
    <w:p w14:paraId="55300FD7" w14:textId="77777777" w:rsidR="009E39C3" w:rsidRDefault="00000000" w:rsidP="00474FC9">
      <w:pPr>
        <w:numPr>
          <w:ilvl w:val="0"/>
          <w:numId w:val="4"/>
        </w:numPr>
        <w:pBdr>
          <w:top w:val="nil"/>
          <w:left w:val="nil"/>
          <w:bottom w:val="nil"/>
          <w:right w:val="nil"/>
          <w:between w:val="nil"/>
        </w:pBdr>
        <w:spacing w:line="275" w:lineRule="auto"/>
        <w:jc w:val="both"/>
      </w:pPr>
      <w:r>
        <w:rPr>
          <w:rFonts w:ascii="Google Sans" w:eastAsia="Google Sans" w:hAnsi="Google Sans" w:cs="Google Sans"/>
          <w:b/>
          <w:bCs/>
          <w:color w:val="1F1F1F"/>
        </w:rPr>
        <w:t>Ubicación:</w:t>
      </w:r>
      <w:r>
        <w:rPr>
          <w:rFonts w:ascii="Google Sans" w:eastAsia="Google Sans" w:hAnsi="Google Sans" w:cs="Google Sans"/>
          <w:color w:val="1F1F1F"/>
        </w:rPr>
        <w:t xml:space="preserve"> Loreto (Triple frontera), VRAEM, Junín.</w:t>
      </w:r>
    </w:p>
    <w:p w14:paraId="2FDC93A2" w14:textId="77777777" w:rsidR="009E39C3" w:rsidRDefault="00000000" w:rsidP="00474FC9">
      <w:pPr>
        <w:numPr>
          <w:ilvl w:val="0"/>
          <w:numId w:val="4"/>
        </w:numPr>
        <w:pBdr>
          <w:top w:val="nil"/>
          <w:left w:val="nil"/>
          <w:bottom w:val="nil"/>
          <w:right w:val="nil"/>
          <w:between w:val="nil"/>
        </w:pBdr>
        <w:spacing w:line="275" w:lineRule="auto"/>
        <w:jc w:val="both"/>
      </w:pPr>
      <w:r>
        <w:rPr>
          <w:rFonts w:ascii="Google Sans" w:eastAsia="Google Sans" w:hAnsi="Google Sans" w:cs="Google Sans"/>
          <w:b/>
          <w:bCs/>
          <w:color w:val="1F1F1F"/>
        </w:rPr>
        <w:t>Acciones del Estado:</w:t>
      </w:r>
      <w:r>
        <w:rPr>
          <w:rFonts w:ascii="Google Sans" w:eastAsia="Google Sans" w:hAnsi="Google Sans" w:cs="Google Sans"/>
          <w:color w:val="1F1F1F"/>
        </w:rPr>
        <w:t xml:space="preserve"> El Ejecutivo ha solicitado facultades para clasificar a bandas como "Los Pulpos" o el "Tren de Aragua" como "grupos hostiles al Estado", permitiendo la intervención militar.</w:t>
      </w:r>
    </w:p>
    <w:p w14:paraId="3C18703D" w14:textId="77777777" w:rsidR="009E39C3" w:rsidRPr="00474FC9" w:rsidRDefault="00000000" w:rsidP="00474FC9">
      <w:pPr>
        <w:numPr>
          <w:ilvl w:val="0"/>
          <w:numId w:val="4"/>
        </w:numPr>
        <w:pBdr>
          <w:top w:val="nil"/>
          <w:left w:val="nil"/>
          <w:bottom w:val="nil"/>
          <w:right w:val="nil"/>
          <w:between w:val="nil"/>
        </w:pBdr>
        <w:spacing w:line="275" w:lineRule="auto"/>
        <w:jc w:val="both"/>
      </w:pPr>
      <w:r>
        <w:rPr>
          <w:rFonts w:ascii="Google Sans" w:eastAsia="Google Sans" w:hAnsi="Google Sans" w:cs="Google Sans"/>
          <w:b/>
          <w:bCs/>
          <w:color w:val="1F1F1F"/>
        </w:rPr>
        <w:t>Nivel de Impacto:</w:t>
      </w:r>
      <w:r>
        <w:rPr>
          <w:rFonts w:ascii="Google Sans" w:eastAsia="Google Sans" w:hAnsi="Google Sans" w:cs="Google Sans"/>
          <w:color w:val="1F1F1F"/>
        </w:rPr>
        <w:t xml:space="preserve"> Medio (en contención).</w:t>
      </w:r>
    </w:p>
    <w:p w14:paraId="51946307" w14:textId="77777777" w:rsidR="00474FC9" w:rsidRDefault="00474FC9" w:rsidP="00474FC9">
      <w:pPr>
        <w:pBdr>
          <w:top w:val="nil"/>
          <w:left w:val="nil"/>
          <w:bottom w:val="nil"/>
          <w:right w:val="nil"/>
          <w:between w:val="nil"/>
        </w:pBdr>
        <w:spacing w:line="275" w:lineRule="auto"/>
        <w:ind w:left="590"/>
        <w:jc w:val="both"/>
      </w:pPr>
    </w:p>
    <w:p w14:paraId="1096AB74" w14:textId="77777777"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Línea 5: Riesgos Tecnológicos y Cibercriminalidad</w:t>
      </w:r>
    </w:p>
    <w:p w14:paraId="788E3721" w14:textId="77777777" w:rsidR="00474FC9" w:rsidRDefault="00474FC9">
      <w:pPr>
        <w:pBdr>
          <w:top w:val="nil"/>
          <w:left w:val="nil"/>
          <w:bottom w:val="nil"/>
          <w:right w:val="nil"/>
          <w:between w:val="nil"/>
        </w:pBdr>
        <w:spacing w:line="275" w:lineRule="auto"/>
        <w:rPr>
          <w:rFonts w:ascii="Google Sans" w:eastAsia="Google Sans" w:hAnsi="Google Sans" w:cs="Google Sans"/>
          <w:b/>
          <w:bCs/>
          <w:color w:val="1F1F1F"/>
        </w:rPr>
      </w:pPr>
    </w:p>
    <w:p w14:paraId="7F3C4C11" w14:textId="77777777" w:rsidR="009E39C3" w:rsidRDefault="00000000" w:rsidP="00474FC9">
      <w:pPr>
        <w:numPr>
          <w:ilvl w:val="0"/>
          <w:numId w:val="5"/>
        </w:numPr>
        <w:pBdr>
          <w:top w:val="nil"/>
          <w:left w:val="nil"/>
          <w:bottom w:val="nil"/>
          <w:right w:val="nil"/>
          <w:between w:val="nil"/>
        </w:pBdr>
        <w:spacing w:line="275" w:lineRule="auto"/>
        <w:jc w:val="both"/>
      </w:pPr>
      <w:r>
        <w:rPr>
          <w:rFonts w:ascii="Google Sans" w:eastAsia="Google Sans" w:hAnsi="Google Sans" w:cs="Google Sans"/>
          <w:b/>
          <w:bCs/>
          <w:color w:val="1F1F1F"/>
        </w:rPr>
        <w:t>Fechas/Ventana:</w:t>
      </w:r>
      <w:r>
        <w:rPr>
          <w:rFonts w:ascii="Google Sans" w:eastAsia="Google Sans" w:hAnsi="Google Sans" w:cs="Google Sans"/>
          <w:color w:val="1F1F1F"/>
        </w:rPr>
        <w:t xml:space="preserve"> Agosto de 2026.</w:t>
      </w:r>
    </w:p>
    <w:p w14:paraId="473F1A97" w14:textId="77777777" w:rsidR="009E39C3" w:rsidRDefault="00000000" w:rsidP="00474FC9">
      <w:pPr>
        <w:numPr>
          <w:ilvl w:val="0"/>
          <w:numId w:val="5"/>
        </w:numPr>
        <w:pBdr>
          <w:top w:val="nil"/>
          <w:left w:val="nil"/>
          <w:bottom w:val="nil"/>
          <w:right w:val="nil"/>
          <w:between w:val="nil"/>
        </w:pBdr>
        <w:spacing w:line="275" w:lineRule="auto"/>
        <w:jc w:val="both"/>
      </w:pPr>
      <w:r>
        <w:rPr>
          <w:rFonts w:ascii="Google Sans" w:eastAsia="Google Sans" w:hAnsi="Google Sans" w:cs="Google Sans"/>
          <w:b/>
          <w:bCs/>
          <w:color w:val="1F1F1F"/>
        </w:rPr>
        <w:t>Hechos Relevantes:</w:t>
      </w:r>
      <w:r>
        <w:rPr>
          <w:rFonts w:ascii="Google Sans" w:eastAsia="Google Sans" w:hAnsi="Google Sans" w:cs="Google Sans"/>
          <w:color w:val="1F1F1F"/>
        </w:rPr>
        <w:t xml:space="preserve"> El ecosistema digital peruano registra más de 350,000 amenazas, con tiempos de explotación de vulnerabilidades reducidos a 24-48 horas. Se documentó el fraude informático a EsSalud Lambayeque por S/ 1.4 millones mediante </w:t>
      </w:r>
      <w:proofErr w:type="spellStart"/>
      <w:r>
        <w:rPr>
          <w:rFonts w:ascii="Google Sans" w:eastAsia="Google Sans" w:hAnsi="Google Sans" w:cs="Google Sans"/>
          <w:i/>
          <w:iCs/>
          <w:color w:val="1F1F1F"/>
        </w:rPr>
        <w:t>vishing</w:t>
      </w:r>
      <w:proofErr w:type="spellEnd"/>
      <w:r>
        <w:rPr>
          <w:rFonts w:ascii="Google Sans" w:eastAsia="Google Sans" w:hAnsi="Google Sans" w:cs="Google Sans"/>
          <w:color w:val="1F1F1F"/>
        </w:rPr>
        <w:t xml:space="preserve"> y acceso remoto, así como la persistencia de bases de datos de inteligencia (DIRIN-PNP) expuestas por ciberdelincuentes como "</w:t>
      </w:r>
      <w:proofErr w:type="spellStart"/>
      <w:r>
        <w:rPr>
          <w:rFonts w:ascii="Google Sans" w:eastAsia="Google Sans" w:hAnsi="Google Sans" w:cs="Google Sans"/>
          <w:color w:val="1F1F1F"/>
        </w:rPr>
        <w:t>Inkaroot</w:t>
      </w:r>
      <w:proofErr w:type="spellEnd"/>
      <w:r>
        <w:rPr>
          <w:rFonts w:ascii="Google Sans" w:eastAsia="Google Sans" w:hAnsi="Google Sans" w:cs="Google Sans"/>
          <w:color w:val="1F1F1F"/>
        </w:rPr>
        <w:t xml:space="preserve">" en </w:t>
      </w:r>
      <w:proofErr w:type="spellStart"/>
      <w:r>
        <w:rPr>
          <w:rFonts w:ascii="Google Sans" w:eastAsia="Google Sans" w:hAnsi="Google Sans" w:cs="Google Sans"/>
          <w:color w:val="1F1F1F"/>
        </w:rPr>
        <w:t>Telegram</w:t>
      </w:r>
      <w:proofErr w:type="spellEnd"/>
      <w:r>
        <w:rPr>
          <w:rFonts w:ascii="Google Sans" w:eastAsia="Google Sans" w:hAnsi="Google Sans" w:cs="Google Sans"/>
          <w:color w:val="1F1F1F"/>
        </w:rPr>
        <w:t>.</w:t>
      </w:r>
    </w:p>
    <w:p w14:paraId="5AEBFAC8" w14:textId="77777777" w:rsidR="009E39C3" w:rsidRDefault="00000000" w:rsidP="00474FC9">
      <w:pPr>
        <w:numPr>
          <w:ilvl w:val="0"/>
          <w:numId w:val="5"/>
        </w:numPr>
        <w:pBdr>
          <w:top w:val="nil"/>
          <w:left w:val="nil"/>
          <w:bottom w:val="nil"/>
          <w:right w:val="nil"/>
          <w:between w:val="nil"/>
        </w:pBdr>
        <w:spacing w:line="275" w:lineRule="auto"/>
        <w:jc w:val="both"/>
      </w:pPr>
      <w:r>
        <w:rPr>
          <w:rFonts w:ascii="Google Sans" w:eastAsia="Google Sans" w:hAnsi="Google Sans" w:cs="Google Sans"/>
          <w:b/>
          <w:bCs/>
          <w:color w:val="1F1F1F"/>
        </w:rPr>
        <w:t>Ubicación:</w:t>
      </w:r>
      <w:r>
        <w:rPr>
          <w:rFonts w:ascii="Google Sans" w:eastAsia="Google Sans" w:hAnsi="Google Sans" w:cs="Google Sans"/>
          <w:color w:val="1F1F1F"/>
        </w:rPr>
        <w:t xml:space="preserve"> Entorno digital e infraestructuras de TI del Estado.</w:t>
      </w:r>
    </w:p>
    <w:p w14:paraId="2A00A206" w14:textId="77777777" w:rsidR="009E39C3" w:rsidRDefault="00000000" w:rsidP="00474FC9">
      <w:pPr>
        <w:numPr>
          <w:ilvl w:val="0"/>
          <w:numId w:val="5"/>
        </w:numPr>
        <w:pBdr>
          <w:top w:val="nil"/>
          <w:left w:val="nil"/>
          <w:bottom w:val="nil"/>
          <w:right w:val="nil"/>
          <w:between w:val="nil"/>
        </w:pBdr>
        <w:spacing w:line="275" w:lineRule="auto"/>
        <w:jc w:val="both"/>
      </w:pPr>
      <w:r>
        <w:rPr>
          <w:rFonts w:ascii="Google Sans" w:eastAsia="Google Sans" w:hAnsi="Google Sans" w:cs="Google Sans"/>
          <w:b/>
          <w:bCs/>
          <w:color w:val="1F1F1F"/>
        </w:rPr>
        <w:t>Acciones del Estado:</w:t>
      </w:r>
      <w:r>
        <w:rPr>
          <w:rFonts w:ascii="Google Sans" w:eastAsia="Google Sans" w:hAnsi="Google Sans" w:cs="Google Sans"/>
          <w:color w:val="1F1F1F"/>
        </w:rPr>
        <w:t xml:space="preserve"> Emisión de Alertas Integradas de Seguridad Digital diarias por parte de la PCM/CNSD y proyectos para reformar la Ley de Delitos Informáticos y geolocalización.</w:t>
      </w:r>
    </w:p>
    <w:p w14:paraId="75549213" w14:textId="77777777" w:rsidR="009E39C3" w:rsidRPr="00474FC9" w:rsidRDefault="00000000" w:rsidP="00474FC9">
      <w:pPr>
        <w:numPr>
          <w:ilvl w:val="0"/>
          <w:numId w:val="5"/>
        </w:numPr>
        <w:pBdr>
          <w:top w:val="nil"/>
          <w:left w:val="nil"/>
          <w:bottom w:val="nil"/>
          <w:right w:val="nil"/>
          <w:between w:val="nil"/>
        </w:pBdr>
        <w:spacing w:line="275" w:lineRule="auto"/>
        <w:jc w:val="both"/>
      </w:pPr>
      <w:r>
        <w:rPr>
          <w:rFonts w:ascii="Google Sans" w:eastAsia="Google Sans" w:hAnsi="Google Sans" w:cs="Google Sans"/>
          <w:b/>
          <w:bCs/>
          <w:color w:val="1F1F1F"/>
        </w:rPr>
        <w:t>Nivel de Impacto:</w:t>
      </w:r>
      <w:r>
        <w:rPr>
          <w:rFonts w:ascii="Google Sans" w:eastAsia="Google Sans" w:hAnsi="Google Sans" w:cs="Google Sans"/>
          <w:color w:val="1F1F1F"/>
        </w:rPr>
        <w:t xml:space="preserve"> Alto. Vulnerabilidad estructural basada en el factor humano de los operadores.</w:t>
      </w:r>
    </w:p>
    <w:p w14:paraId="3FD150B0" w14:textId="77777777" w:rsidR="00474FC9" w:rsidRDefault="00474FC9" w:rsidP="00474FC9">
      <w:pPr>
        <w:pBdr>
          <w:top w:val="nil"/>
          <w:left w:val="nil"/>
          <w:bottom w:val="nil"/>
          <w:right w:val="nil"/>
          <w:between w:val="nil"/>
        </w:pBdr>
        <w:spacing w:line="275" w:lineRule="auto"/>
        <w:ind w:left="590"/>
      </w:pPr>
    </w:p>
    <w:p w14:paraId="4874D132" w14:textId="77777777"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Línea 6: Criminología Ambiental y Control Territorial</w:t>
      </w:r>
    </w:p>
    <w:p w14:paraId="1CFAB7F8" w14:textId="77777777" w:rsidR="00474FC9" w:rsidRDefault="00474FC9">
      <w:pPr>
        <w:pBdr>
          <w:top w:val="nil"/>
          <w:left w:val="nil"/>
          <w:bottom w:val="nil"/>
          <w:right w:val="nil"/>
          <w:between w:val="nil"/>
        </w:pBdr>
        <w:spacing w:line="275" w:lineRule="auto"/>
        <w:rPr>
          <w:rFonts w:ascii="Google Sans" w:eastAsia="Google Sans" w:hAnsi="Google Sans" w:cs="Google Sans"/>
          <w:b/>
          <w:bCs/>
          <w:color w:val="1F1F1F"/>
        </w:rPr>
      </w:pPr>
    </w:p>
    <w:p w14:paraId="448A5364" w14:textId="77777777" w:rsidR="009E39C3" w:rsidRDefault="00000000" w:rsidP="00474FC9">
      <w:pPr>
        <w:numPr>
          <w:ilvl w:val="0"/>
          <w:numId w:val="6"/>
        </w:numPr>
        <w:pBdr>
          <w:top w:val="nil"/>
          <w:left w:val="nil"/>
          <w:bottom w:val="nil"/>
          <w:right w:val="nil"/>
          <w:between w:val="nil"/>
        </w:pBdr>
        <w:spacing w:line="275" w:lineRule="auto"/>
        <w:jc w:val="both"/>
      </w:pPr>
      <w:r>
        <w:rPr>
          <w:rFonts w:ascii="Google Sans" w:eastAsia="Google Sans" w:hAnsi="Google Sans" w:cs="Google Sans"/>
          <w:b/>
          <w:bCs/>
          <w:color w:val="1F1F1F"/>
        </w:rPr>
        <w:t>Fechas/Ventana:</w:t>
      </w:r>
      <w:r>
        <w:rPr>
          <w:rFonts w:ascii="Google Sans" w:eastAsia="Google Sans" w:hAnsi="Google Sans" w:cs="Google Sans"/>
          <w:color w:val="1F1F1F"/>
        </w:rPr>
        <w:t xml:space="preserve"> 27 al 31 de agosto de 2026.</w:t>
      </w:r>
    </w:p>
    <w:p w14:paraId="09ADF035" w14:textId="77777777" w:rsidR="009E39C3" w:rsidRDefault="00000000" w:rsidP="00474FC9">
      <w:pPr>
        <w:numPr>
          <w:ilvl w:val="0"/>
          <w:numId w:val="6"/>
        </w:numPr>
        <w:pBdr>
          <w:top w:val="nil"/>
          <w:left w:val="nil"/>
          <w:bottom w:val="nil"/>
          <w:right w:val="nil"/>
          <w:between w:val="nil"/>
        </w:pBdr>
        <w:spacing w:line="275" w:lineRule="auto"/>
        <w:jc w:val="both"/>
      </w:pPr>
      <w:r>
        <w:rPr>
          <w:rFonts w:ascii="Google Sans" w:eastAsia="Google Sans" w:hAnsi="Google Sans" w:cs="Google Sans"/>
          <w:b/>
          <w:bCs/>
          <w:color w:val="1F1F1F"/>
        </w:rPr>
        <w:t>Hechos Relevantes:</w:t>
      </w:r>
      <w:r>
        <w:rPr>
          <w:rFonts w:ascii="Google Sans" w:eastAsia="Google Sans" w:hAnsi="Google Sans" w:cs="Google Sans"/>
          <w:color w:val="1F1F1F"/>
        </w:rPr>
        <w:t xml:space="preserve"> Los establecimientos penitenciarios continúan operando como nodos de comando logístico; el Ministerio de Defensa confirmó que el secuestro en Trujillo fue planificado desde tres penales, incluyendo "El Milagro". En respuesta, se promulgó el DS </w:t>
      </w:r>
      <w:proofErr w:type="spellStart"/>
      <w:r>
        <w:rPr>
          <w:rFonts w:ascii="Google Sans" w:eastAsia="Google Sans" w:hAnsi="Google Sans" w:cs="Google Sans"/>
          <w:color w:val="1F1F1F"/>
        </w:rPr>
        <w:t>N.°</w:t>
      </w:r>
      <w:proofErr w:type="spellEnd"/>
      <w:r>
        <w:rPr>
          <w:rFonts w:ascii="Google Sans" w:eastAsia="Google Sans" w:hAnsi="Google Sans" w:cs="Google Sans"/>
          <w:color w:val="1F1F1F"/>
        </w:rPr>
        <w:t xml:space="preserve"> 123-2026-PCM, declarando en emergencia Lima y Callao por 60 días.</w:t>
      </w:r>
    </w:p>
    <w:p w14:paraId="70E4E2AA" w14:textId="77777777" w:rsidR="009E39C3" w:rsidRDefault="00000000" w:rsidP="00474FC9">
      <w:pPr>
        <w:numPr>
          <w:ilvl w:val="0"/>
          <w:numId w:val="6"/>
        </w:numPr>
        <w:pBdr>
          <w:top w:val="nil"/>
          <w:left w:val="nil"/>
          <w:bottom w:val="nil"/>
          <w:right w:val="nil"/>
          <w:between w:val="nil"/>
        </w:pBdr>
        <w:spacing w:line="275" w:lineRule="auto"/>
        <w:jc w:val="both"/>
      </w:pPr>
      <w:r>
        <w:rPr>
          <w:rFonts w:ascii="Google Sans" w:eastAsia="Google Sans" w:hAnsi="Google Sans" w:cs="Google Sans"/>
          <w:b/>
          <w:bCs/>
          <w:color w:val="1F1F1F"/>
        </w:rPr>
        <w:t>Ubicación:</w:t>
      </w:r>
      <w:r>
        <w:rPr>
          <w:rFonts w:ascii="Google Sans" w:eastAsia="Google Sans" w:hAnsi="Google Sans" w:cs="Google Sans"/>
          <w:color w:val="1F1F1F"/>
        </w:rPr>
        <w:t xml:space="preserve"> Penales (Lurigancho, Sarita Colonia, Ancón I, </w:t>
      </w:r>
      <w:proofErr w:type="spellStart"/>
      <w:r>
        <w:rPr>
          <w:rFonts w:ascii="Google Sans" w:eastAsia="Google Sans" w:hAnsi="Google Sans" w:cs="Google Sans"/>
          <w:color w:val="1F1F1F"/>
        </w:rPr>
        <w:t>Challapalca</w:t>
      </w:r>
      <w:proofErr w:type="spellEnd"/>
      <w:r>
        <w:rPr>
          <w:rFonts w:ascii="Google Sans" w:eastAsia="Google Sans" w:hAnsi="Google Sans" w:cs="Google Sans"/>
          <w:color w:val="1F1F1F"/>
        </w:rPr>
        <w:t>, El Milagro).</w:t>
      </w:r>
    </w:p>
    <w:p w14:paraId="17D8838E" w14:textId="77777777" w:rsidR="009E39C3" w:rsidRDefault="00000000" w:rsidP="00474FC9">
      <w:pPr>
        <w:numPr>
          <w:ilvl w:val="0"/>
          <w:numId w:val="6"/>
        </w:numPr>
        <w:pBdr>
          <w:top w:val="nil"/>
          <w:left w:val="nil"/>
          <w:bottom w:val="nil"/>
          <w:right w:val="nil"/>
          <w:between w:val="nil"/>
        </w:pBdr>
        <w:spacing w:line="275" w:lineRule="auto"/>
        <w:jc w:val="both"/>
      </w:pPr>
      <w:r>
        <w:rPr>
          <w:rFonts w:ascii="Google Sans" w:eastAsia="Google Sans" w:hAnsi="Google Sans" w:cs="Google Sans"/>
          <w:b/>
          <w:bCs/>
          <w:color w:val="1F1F1F"/>
        </w:rPr>
        <w:t>Acciones del Estado:</w:t>
      </w:r>
      <w:r>
        <w:rPr>
          <w:rFonts w:ascii="Google Sans" w:eastAsia="Google Sans" w:hAnsi="Google Sans" w:cs="Google Sans"/>
          <w:color w:val="1F1F1F"/>
        </w:rPr>
        <w:t xml:space="preserve"> El estado de emergencia incluye un capítulo penitenciario que dispone apagones eléctricos, destrucción de antenas ilícitas, vigilancia con drones y control perimétrico a cargo de las Fuerzas Armadas.</w:t>
      </w:r>
    </w:p>
    <w:p w14:paraId="683B925C" w14:textId="77777777" w:rsidR="009E39C3" w:rsidRPr="00474FC9" w:rsidRDefault="00000000">
      <w:pPr>
        <w:numPr>
          <w:ilvl w:val="0"/>
          <w:numId w:val="6"/>
        </w:numPr>
        <w:pBdr>
          <w:top w:val="nil"/>
          <w:left w:val="nil"/>
          <w:bottom w:val="nil"/>
          <w:right w:val="nil"/>
          <w:between w:val="nil"/>
        </w:pBdr>
        <w:spacing w:line="275" w:lineRule="auto"/>
      </w:pPr>
      <w:r>
        <w:rPr>
          <w:rFonts w:ascii="Google Sans" w:eastAsia="Google Sans" w:hAnsi="Google Sans" w:cs="Google Sans"/>
          <w:b/>
          <w:bCs/>
          <w:color w:val="1F1F1F"/>
        </w:rPr>
        <w:t>Nivel de Impacto:</w:t>
      </w:r>
      <w:r>
        <w:rPr>
          <w:rFonts w:ascii="Google Sans" w:eastAsia="Google Sans" w:hAnsi="Google Sans" w:cs="Google Sans"/>
          <w:color w:val="1F1F1F"/>
        </w:rPr>
        <w:t xml:space="preserve"> Crítico Sistémico.</w:t>
      </w:r>
    </w:p>
    <w:p w14:paraId="4897CCF7" w14:textId="77777777" w:rsidR="00474FC9" w:rsidRDefault="00474FC9" w:rsidP="00474FC9">
      <w:pPr>
        <w:pBdr>
          <w:top w:val="nil"/>
          <w:left w:val="nil"/>
          <w:bottom w:val="nil"/>
          <w:right w:val="nil"/>
          <w:between w:val="nil"/>
        </w:pBdr>
        <w:spacing w:line="275" w:lineRule="auto"/>
        <w:ind w:left="590"/>
      </w:pPr>
    </w:p>
    <w:p w14:paraId="506AC0F7" w14:textId="77777777" w:rsidR="009E39C3" w:rsidRDefault="00000000">
      <w:pPr>
        <w:pStyle w:val="Ttulo3"/>
        <w:spacing w:before="0" w:after="0" w:line="275" w:lineRule="auto"/>
        <w:rPr>
          <w:rFonts w:ascii="Google Sans" w:eastAsia="Google Sans" w:hAnsi="Google Sans" w:cs="Google Sans"/>
          <w:color w:val="1F1F1F"/>
        </w:rPr>
      </w:pPr>
      <w:r>
        <w:rPr>
          <w:rFonts w:ascii="Google Sans" w:eastAsia="Google Sans" w:hAnsi="Google Sans" w:cs="Google Sans"/>
          <w:color w:val="1F1F1F"/>
        </w:rPr>
        <w:t>III. ANÁLISIS DE CONSISTENCIA DE DATOS Y BRECHAS ESTADÍSTICAS</w:t>
      </w:r>
    </w:p>
    <w:p w14:paraId="7C855FA6" w14:textId="77777777" w:rsidR="00474FC9" w:rsidRPr="00474FC9" w:rsidRDefault="00474FC9" w:rsidP="00474FC9"/>
    <w:p w14:paraId="2A79B300" w14:textId="77777777" w:rsidR="009E39C3" w:rsidRDefault="00000000" w:rsidP="00474FC9">
      <w:pPr>
        <w:pBdr>
          <w:top w:val="nil"/>
          <w:left w:val="nil"/>
          <w:bottom w:val="nil"/>
          <w:right w:val="nil"/>
          <w:between w:val="nil"/>
        </w:pBdr>
        <w:spacing w:line="275" w:lineRule="auto"/>
        <w:jc w:val="both"/>
        <w:rPr>
          <w:rFonts w:ascii="Google Sans" w:eastAsia="Google Sans" w:hAnsi="Google Sans" w:cs="Google Sans"/>
          <w:color w:val="1F1F1F"/>
        </w:rPr>
      </w:pPr>
      <w:r>
        <w:rPr>
          <w:rFonts w:ascii="Google Sans" w:eastAsia="Google Sans" w:hAnsi="Google Sans" w:cs="Google Sans"/>
          <w:color w:val="1F1F1F"/>
        </w:rPr>
        <w:t xml:space="preserve">La auditoría técnica de los registros de letalidad criminal en agosto de 2026 revela un descalce metodológico estructural entre las agencias del Estado, lo que impide contar con una línea de </w:t>
      </w:r>
      <w:r>
        <w:rPr>
          <w:rFonts w:ascii="Google Sans" w:eastAsia="Google Sans" w:hAnsi="Google Sans" w:cs="Google Sans"/>
          <w:color w:val="1F1F1F"/>
        </w:rPr>
        <w:lastRenderedPageBreak/>
        <w:t>base certera para la toma de decisiones:</w:t>
      </w:r>
    </w:p>
    <w:p w14:paraId="3502D848" w14:textId="77777777" w:rsidR="00474FC9" w:rsidRDefault="00474FC9" w:rsidP="00474FC9">
      <w:pPr>
        <w:pBdr>
          <w:top w:val="nil"/>
          <w:left w:val="nil"/>
          <w:bottom w:val="nil"/>
          <w:right w:val="nil"/>
          <w:between w:val="nil"/>
        </w:pBdr>
        <w:spacing w:line="275" w:lineRule="auto"/>
        <w:jc w:val="both"/>
        <w:rPr>
          <w:rFonts w:ascii="Google Sans" w:eastAsia="Google Sans" w:hAnsi="Google Sans" w:cs="Google Sans"/>
          <w:color w:val="1F1F1F"/>
        </w:rPr>
      </w:pPr>
    </w:p>
    <w:p w14:paraId="19D4D6BA" w14:textId="77777777" w:rsidR="009E39C3" w:rsidRPr="00474FC9" w:rsidRDefault="00000000" w:rsidP="00474FC9">
      <w:pPr>
        <w:numPr>
          <w:ilvl w:val="0"/>
          <w:numId w:val="7"/>
        </w:numPr>
        <w:pBdr>
          <w:top w:val="nil"/>
          <w:left w:val="nil"/>
          <w:bottom w:val="nil"/>
          <w:right w:val="nil"/>
          <w:between w:val="nil"/>
        </w:pBdr>
        <w:spacing w:line="275" w:lineRule="auto"/>
        <w:jc w:val="both"/>
      </w:pPr>
      <w:r>
        <w:rPr>
          <w:rFonts w:ascii="Google Sans" w:eastAsia="Google Sans" w:hAnsi="Google Sans" w:cs="Google Sans"/>
          <w:b/>
          <w:bCs/>
          <w:color w:val="1F1F1F"/>
        </w:rPr>
        <w:t>Subregistro e Inconsistencias:</w:t>
      </w:r>
      <w:r>
        <w:rPr>
          <w:rFonts w:ascii="Google Sans" w:eastAsia="Google Sans" w:hAnsi="Google Sans" w:cs="Google Sans"/>
          <w:color w:val="1F1F1F"/>
        </w:rPr>
        <w:t xml:space="preserve"> El Sistema Informático Nacional de Defunciones (SINADEF) reportó 166 homicidios a nivel nacional entre el 28 de julio y el 28 de agosto, de los cuales 122 (73.5%) fueron cometidos por arma de fuego. Sin embargo, se identificaron al menos 17 muertes violentas por arma de fuego clasificadas en la categoría de "ignoradas", las cuales, de reclasificarse, elevarían la cifra a 139 casos (83.7%).</w:t>
      </w:r>
    </w:p>
    <w:p w14:paraId="533F135F" w14:textId="77777777" w:rsidR="00474FC9" w:rsidRDefault="00474FC9" w:rsidP="00474FC9">
      <w:pPr>
        <w:pBdr>
          <w:top w:val="nil"/>
          <w:left w:val="nil"/>
          <w:bottom w:val="nil"/>
          <w:right w:val="nil"/>
          <w:between w:val="nil"/>
        </w:pBdr>
        <w:spacing w:line="275" w:lineRule="auto"/>
        <w:ind w:left="590"/>
        <w:jc w:val="both"/>
      </w:pPr>
    </w:p>
    <w:p w14:paraId="153E5B3D" w14:textId="77777777" w:rsidR="009E39C3" w:rsidRDefault="00000000" w:rsidP="00474FC9">
      <w:pPr>
        <w:numPr>
          <w:ilvl w:val="0"/>
          <w:numId w:val="7"/>
        </w:numPr>
        <w:pBdr>
          <w:top w:val="nil"/>
          <w:left w:val="nil"/>
          <w:bottom w:val="nil"/>
          <w:right w:val="nil"/>
          <w:between w:val="nil"/>
        </w:pBdr>
        <w:spacing w:line="275" w:lineRule="auto"/>
        <w:jc w:val="both"/>
      </w:pPr>
      <w:r>
        <w:rPr>
          <w:rFonts w:ascii="Google Sans" w:eastAsia="Google Sans" w:hAnsi="Google Sans" w:cs="Google Sans"/>
          <w:b/>
          <w:bCs/>
          <w:color w:val="1F1F1F"/>
        </w:rPr>
        <w:t>Brecha Histórica e Institucional:</w:t>
      </w:r>
      <w:r>
        <w:rPr>
          <w:rFonts w:ascii="Google Sans" w:eastAsia="Google Sans" w:hAnsi="Google Sans" w:cs="Google Sans"/>
          <w:color w:val="1F1F1F"/>
        </w:rPr>
        <w:t xml:space="preserve"> Existe una divergencia superior al 50% entre los registros del SINADEF y el Centro Estratégico de Inteligencia Criminal (CEIC) de la PNP, así como anomalías en la categoría "Otros objetos" de la base policial durante 2025. Paralelamente, el portal de homicidios del Observatorio Nacional de Seguridad Ciudadana (OBNASEC) presenta un desfase de casi una década, mostrando datos correspondientes a 2017.</w:t>
      </w:r>
    </w:p>
    <w:p w14:paraId="143EF972" w14:textId="77777777" w:rsidR="009E39C3" w:rsidRPr="00474FC9" w:rsidRDefault="00000000" w:rsidP="00474FC9">
      <w:pPr>
        <w:numPr>
          <w:ilvl w:val="0"/>
          <w:numId w:val="7"/>
        </w:numPr>
        <w:pBdr>
          <w:top w:val="nil"/>
          <w:left w:val="nil"/>
          <w:bottom w:val="nil"/>
          <w:right w:val="nil"/>
          <w:between w:val="nil"/>
        </w:pBdr>
        <w:spacing w:line="275" w:lineRule="auto"/>
        <w:jc w:val="both"/>
      </w:pPr>
      <w:r>
        <w:rPr>
          <w:rFonts w:ascii="Google Sans" w:eastAsia="Google Sans" w:hAnsi="Google Sans" w:cs="Google Sans"/>
          <w:b/>
          <w:bCs/>
          <w:color w:val="1F1F1F"/>
        </w:rPr>
        <w:t>Opacidad Operacional:</w:t>
      </w:r>
      <w:r>
        <w:rPr>
          <w:rFonts w:ascii="Google Sans" w:eastAsia="Google Sans" w:hAnsi="Google Sans" w:cs="Google Sans"/>
          <w:color w:val="1F1F1F"/>
        </w:rPr>
        <w:t xml:space="preserve"> Se documentó una latencia superior a los 20 y 30 días en la actualización de los portales de noticias del Comando Conjunto de las FF.AA. y del INPE, respectivamente, generando un vacío de transparencia durante los picos de crisis.</w:t>
      </w:r>
    </w:p>
    <w:p w14:paraId="29771517" w14:textId="77777777" w:rsidR="00474FC9" w:rsidRDefault="00474FC9" w:rsidP="00474FC9">
      <w:pPr>
        <w:pBdr>
          <w:top w:val="nil"/>
          <w:left w:val="nil"/>
          <w:bottom w:val="nil"/>
          <w:right w:val="nil"/>
          <w:between w:val="nil"/>
        </w:pBdr>
        <w:spacing w:line="275" w:lineRule="auto"/>
        <w:ind w:left="590"/>
        <w:jc w:val="both"/>
      </w:pPr>
    </w:p>
    <w:p w14:paraId="4EF44C6D" w14:textId="77777777" w:rsidR="009E39C3" w:rsidRDefault="00000000">
      <w:pPr>
        <w:pStyle w:val="Ttulo3"/>
        <w:spacing w:before="0" w:after="0" w:line="275" w:lineRule="auto"/>
        <w:rPr>
          <w:rFonts w:ascii="Google Sans" w:eastAsia="Google Sans" w:hAnsi="Google Sans" w:cs="Google Sans"/>
          <w:color w:val="1F1F1F"/>
        </w:rPr>
      </w:pPr>
      <w:r>
        <w:rPr>
          <w:rFonts w:ascii="Google Sans" w:eastAsia="Google Sans" w:hAnsi="Google Sans" w:cs="Google Sans"/>
          <w:color w:val="1F1F1F"/>
        </w:rPr>
        <w:t>IV. MODELADO DE ESCENARIOS PROSPECTIVOS (Horizontes: 3 a 6 meses)</w:t>
      </w:r>
    </w:p>
    <w:p w14:paraId="504CBEE4" w14:textId="77777777" w:rsidR="00174F7D" w:rsidRDefault="00174F7D">
      <w:pPr>
        <w:pBdr>
          <w:top w:val="nil"/>
          <w:left w:val="nil"/>
          <w:bottom w:val="nil"/>
          <w:right w:val="nil"/>
          <w:between w:val="nil"/>
        </w:pBdr>
        <w:spacing w:line="275" w:lineRule="auto"/>
        <w:rPr>
          <w:rFonts w:ascii="Google Sans" w:eastAsia="Google Sans" w:hAnsi="Google Sans" w:cs="Google Sans"/>
          <w:b/>
          <w:bCs/>
          <w:color w:val="1F1F1F"/>
        </w:rPr>
      </w:pPr>
    </w:p>
    <w:p w14:paraId="0D24CC6A" w14:textId="5DBC4904"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1. Escenario Tendencial (Inercial):</w:t>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p>
    <w:p w14:paraId="57C2B7AD" w14:textId="77777777" w:rsidR="009E39C3" w:rsidRDefault="00000000" w:rsidP="00281D70">
      <w:pPr>
        <w:numPr>
          <w:ilvl w:val="0"/>
          <w:numId w:val="8"/>
        </w:numPr>
        <w:pBdr>
          <w:top w:val="nil"/>
          <w:left w:val="nil"/>
          <w:bottom w:val="nil"/>
          <w:right w:val="nil"/>
          <w:between w:val="nil"/>
        </w:pBdr>
        <w:spacing w:line="275" w:lineRule="auto"/>
        <w:jc w:val="both"/>
      </w:pPr>
      <w:r>
        <w:rPr>
          <w:rFonts w:ascii="Google Sans" w:eastAsia="Google Sans" w:hAnsi="Google Sans" w:cs="Google Sans"/>
          <w:i/>
          <w:iCs/>
          <w:color w:val="1F1F1F"/>
        </w:rPr>
        <w:t>Dinámica:</w:t>
      </w:r>
      <w:r>
        <w:rPr>
          <w:rFonts w:ascii="Google Sans" w:eastAsia="Google Sans" w:hAnsi="Google Sans" w:cs="Google Sans"/>
          <w:color w:val="1F1F1F"/>
        </w:rPr>
        <w:t xml:space="preserve"> La aprobación del paquete legislativo otorga a las FF.AA. el control perimétrico de los penales y el patrullaje urbano, logrando una disuasión superficial y temporal.</w:t>
      </w:r>
    </w:p>
    <w:p w14:paraId="640D5863" w14:textId="523E6772" w:rsidR="009E39C3" w:rsidRDefault="0058632C" w:rsidP="00281D70">
      <w:pPr>
        <w:numPr>
          <w:ilvl w:val="0"/>
          <w:numId w:val="8"/>
        </w:numPr>
        <w:pBdr>
          <w:top w:val="nil"/>
          <w:left w:val="nil"/>
          <w:bottom w:val="nil"/>
          <w:right w:val="nil"/>
          <w:between w:val="nil"/>
        </w:pBdr>
        <w:spacing w:line="275" w:lineRule="auto"/>
        <w:jc w:val="both"/>
      </w:pPr>
      <w:r>
        <w:rPr>
          <w:rFonts w:ascii="Google Sans" w:eastAsia="Google Sans" w:hAnsi="Google Sans" w:cs="Google Sans"/>
          <w:i/>
          <w:iCs/>
          <w:color w:val="1F1F1F"/>
        </w:rPr>
        <w:t>Detonante:</w:t>
      </w:r>
      <w:r>
        <w:rPr>
          <w:rFonts w:ascii="Google Sans" w:eastAsia="Google Sans" w:hAnsi="Google Sans" w:cs="Google Sans"/>
          <w:color w:val="1F1F1F"/>
        </w:rPr>
        <w:t xml:space="preserve"> Mantenimiento del REINFO sin cambios estructurales.</w:t>
      </w:r>
    </w:p>
    <w:p w14:paraId="6F04C76C" w14:textId="34663445" w:rsidR="009E39C3" w:rsidRDefault="00000000" w:rsidP="00281D70">
      <w:pPr>
        <w:numPr>
          <w:ilvl w:val="0"/>
          <w:numId w:val="8"/>
        </w:numPr>
        <w:pBdr>
          <w:top w:val="nil"/>
          <w:left w:val="nil"/>
          <w:bottom w:val="nil"/>
          <w:right w:val="nil"/>
          <w:between w:val="nil"/>
        </w:pBdr>
        <w:spacing w:line="275" w:lineRule="auto"/>
        <w:jc w:val="both"/>
      </w:pPr>
      <w:r>
        <w:rPr>
          <w:rFonts w:ascii="Google Sans" w:eastAsia="Google Sans" w:hAnsi="Google Sans" w:cs="Google Sans"/>
          <w:i/>
          <w:iCs/>
          <w:color w:val="1F1F1F"/>
        </w:rPr>
        <w:t>Impacto:</w:t>
      </w:r>
      <w:r>
        <w:rPr>
          <w:rFonts w:ascii="Google Sans" w:eastAsia="Google Sans" w:hAnsi="Google Sans" w:cs="Google Sans"/>
          <w:color w:val="1F1F1F"/>
        </w:rPr>
        <w:t xml:space="preserve"> Las megabandas adaptan su logística utilizando la tecnología (cifrado, extorsión digital) y logran penetrar los nuevos anillos de seguridad militar mediante la alta capacidad de soborno proveniente de la minería ilegal. La criminalidad se desplaza a regiones del norte y oriente no abarcadas por los estados de emergencia.</w:t>
      </w:r>
      <w:r w:rsidR="00281D70">
        <w:rPr>
          <w:rFonts w:ascii="Google Sans" w:eastAsia="Google Sans" w:hAnsi="Google Sans" w:cs="Google Sans"/>
          <w:color w:val="1F1F1F"/>
        </w:rPr>
        <w:tab/>
      </w:r>
      <w:r w:rsidR="00281D70">
        <w:rPr>
          <w:rFonts w:ascii="Google Sans" w:eastAsia="Google Sans" w:hAnsi="Google Sans" w:cs="Google Sans"/>
          <w:color w:val="1F1F1F"/>
        </w:rPr>
        <w:tab/>
      </w:r>
      <w:r w:rsidR="00281D70">
        <w:rPr>
          <w:rFonts w:ascii="Google Sans" w:eastAsia="Google Sans" w:hAnsi="Google Sans" w:cs="Google Sans"/>
          <w:color w:val="1F1F1F"/>
        </w:rPr>
        <w:tab/>
      </w:r>
      <w:r w:rsidR="00281D70">
        <w:rPr>
          <w:rFonts w:ascii="Google Sans" w:eastAsia="Google Sans" w:hAnsi="Google Sans" w:cs="Google Sans"/>
          <w:color w:val="1F1F1F"/>
        </w:rPr>
        <w:tab/>
      </w:r>
      <w:r w:rsidR="00281D70">
        <w:rPr>
          <w:rFonts w:ascii="Google Sans" w:eastAsia="Google Sans" w:hAnsi="Google Sans" w:cs="Google Sans"/>
          <w:color w:val="1F1F1F"/>
        </w:rPr>
        <w:tab/>
      </w:r>
    </w:p>
    <w:p w14:paraId="256364EF" w14:textId="55BA545A"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2. Escenario Catastrófico (Deterioro Extremo):</w:t>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p>
    <w:p w14:paraId="7123F179" w14:textId="77777777" w:rsidR="009E39C3" w:rsidRDefault="00000000" w:rsidP="00281D70">
      <w:pPr>
        <w:numPr>
          <w:ilvl w:val="0"/>
          <w:numId w:val="9"/>
        </w:numPr>
        <w:pBdr>
          <w:top w:val="nil"/>
          <w:left w:val="nil"/>
          <w:bottom w:val="nil"/>
          <w:right w:val="nil"/>
          <w:between w:val="nil"/>
        </w:pBdr>
        <w:spacing w:line="275" w:lineRule="auto"/>
        <w:jc w:val="both"/>
      </w:pPr>
      <w:r>
        <w:rPr>
          <w:rFonts w:ascii="Google Sans" w:eastAsia="Google Sans" w:hAnsi="Google Sans" w:cs="Google Sans"/>
          <w:i/>
          <w:iCs/>
          <w:color w:val="1F1F1F"/>
        </w:rPr>
        <w:t>Dinámica:</w:t>
      </w:r>
      <w:r>
        <w:rPr>
          <w:rFonts w:ascii="Google Sans" w:eastAsia="Google Sans" w:hAnsi="Google Sans" w:cs="Google Sans"/>
          <w:color w:val="1F1F1F"/>
        </w:rPr>
        <w:t xml:space="preserve"> La convergencia criminal interviene decisivamente en el ciclo electoral regional y municipal de 2026, logrando la elección de candidatos vinculados al lavado de activos (como los detectados en San Martín).</w:t>
      </w:r>
    </w:p>
    <w:p w14:paraId="0AF3A832" w14:textId="77777777" w:rsidR="009E39C3" w:rsidRDefault="00000000" w:rsidP="00281D70">
      <w:pPr>
        <w:numPr>
          <w:ilvl w:val="0"/>
          <w:numId w:val="9"/>
        </w:numPr>
        <w:pBdr>
          <w:top w:val="nil"/>
          <w:left w:val="nil"/>
          <w:bottom w:val="nil"/>
          <w:right w:val="nil"/>
          <w:between w:val="nil"/>
        </w:pBdr>
        <w:spacing w:line="275" w:lineRule="auto"/>
        <w:jc w:val="both"/>
      </w:pPr>
      <w:r>
        <w:rPr>
          <w:rFonts w:ascii="Google Sans" w:eastAsia="Google Sans" w:hAnsi="Google Sans" w:cs="Google Sans"/>
          <w:i/>
          <w:iCs/>
          <w:color w:val="1F1F1F"/>
        </w:rPr>
        <w:t>Trigger:</w:t>
      </w:r>
      <w:r>
        <w:rPr>
          <w:rFonts w:ascii="Google Sans" w:eastAsia="Google Sans" w:hAnsi="Google Sans" w:cs="Google Sans"/>
          <w:color w:val="1F1F1F"/>
        </w:rPr>
        <w:t xml:space="preserve"> Fracaso absoluto del bloqueo tecnológico en cárceles e infiltración total de las fuerzas especiales.</w:t>
      </w:r>
    </w:p>
    <w:p w14:paraId="408835BE" w14:textId="3821F2B1" w:rsidR="009E39C3" w:rsidRDefault="00000000" w:rsidP="00281D70">
      <w:pPr>
        <w:numPr>
          <w:ilvl w:val="0"/>
          <w:numId w:val="9"/>
        </w:numPr>
        <w:pBdr>
          <w:top w:val="nil"/>
          <w:left w:val="nil"/>
          <w:bottom w:val="nil"/>
          <w:right w:val="nil"/>
          <w:between w:val="nil"/>
        </w:pBdr>
        <w:spacing w:line="275" w:lineRule="auto"/>
        <w:jc w:val="both"/>
      </w:pPr>
      <w:r>
        <w:rPr>
          <w:rFonts w:ascii="Google Sans" w:eastAsia="Google Sans" w:hAnsi="Google Sans" w:cs="Google Sans"/>
          <w:i/>
          <w:iCs/>
          <w:color w:val="1F1F1F"/>
        </w:rPr>
        <w:t>Impacto:</w:t>
      </w:r>
      <w:r>
        <w:rPr>
          <w:rFonts w:ascii="Google Sans" w:eastAsia="Google Sans" w:hAnsi="Google Sans" w:cs="Google Sans"/>
          <w:color w:val="1F1F1F"/>
        </w:rPr>
        <w:t xml:space="preserve"> Replicación sistemática de la suplantación de fuerzas del Estado (como en el caso "Los Pulpos" en Trujillo). Pérdida de legitimidad de la autoridad policial, desobediencia civil ante operativos legales, y consolidación de territorios gobernados de facto por </w:t>
      </w:r>
      <w:r>
        <w:rPr>
          <w:rFonts w:ascii="Google Sans" w:eastAsia="Google Sans" w:hAnsi="Google Sans" w:cs="Google Sans"/>
          <w:color w:val="1F1F1F"/>
        </w:rPr>
        <w:lastRenderedPageBreak/>
        <w:t xml:space="preserve">mafias extractivas y el Comando </w:t>
      </w:r>
      <w:proofErr w:type="spellStart"/>
      <w:r>
        <w:rPr>
          <w:rFonts w:ascii="Google Sans" w:eastAsia="Google Sans" w:hAnsi="Google Sans" w:cs="Google Sans"/>
          <w:color w:val="1F1F1F"/>
        </w:rPr>
        <w:t>Vermelho</w:t>
      </w:r>
      <w:proofErr w:type="spellEnd"/>
      <w:r>
        <w:rPr>
          <w:rFonts w:ascii="Google Sans" w:eastAsia="Google Sans" w:hAnsi="Google Sans" w:cs="Google Sans"/>
          <w:color w:val="1F1F1F"/>
        </w:rPr>
        <w:t xml:space="preserve"> en la Amazonía.</w:t>
      </w:r>
      <w:r w:rsidR="00281D70">
        <w:rPr>
          <w:rFonts w:ascii="Google Sans" w:eastAsia="Google Sans" w:hAnsi="Google Sans" w:cs="Google Sans"/>
          <w:color w:val="1F1F1F"/>
        </w:rPr>
        <w:tab/>
      </w:r>
      <w:r w:rsidR="00281D70">
        <w:rPr>
          <w:rFonts w:ascii="Google Sans" w:eastAsia="Google Sans" w:hAnsi="Google Sans" w:cs="Google Sans"/>
          <w:color w:val="1F1F1F"/>
        </w:rPr>
        <w:tab/>
      </w:r>
      <w:r w:rsidR="00281D70">
        <w:rPr>
          <w:rFonts w:ascii="Google Sans" w:eastAsia="Google Sans" w:hAnsi="Google Sans" w:cs="Google Sans"/>
          <w:color w:val="1F1F1F"/>
        </w:rPr>
        <w:tab/>
      </w:r>
      <w:r w:rsidR="00281D70">
        <w:rPr>
          <w:rFonts w:ascii="Google Sans" w:eastAsia="Google Sans" w:hAnsi="Google Sans" w:cs="Google Sans"/>
          <w:color w:val="1F1F1F"/>
        </w:rPr>
        <w:tab/>
      </w:r>
      <w:r w:rsidR="00281D70">
        <w:rPr>
          <w:rFonts w:ascii="Google Sans" w:eastAsia="Google Sans" w:hAnsi="Google Sans" w:cs="Google Sans"/>
          <w:color w:val="1F1F1F"/>
        </w:rPr>
        <w:tab/>
      </w:r>
      <w:r w:rsidR="00281D70">
        <w:rPr>
          <w:rFonts w:ascii="Google Sans" w:eastAsia="Google Sans" w:hAnsi="Google Sans" w:cs="Google Sans"/>
          <w:color w:val="1F1F1F"/>
        </w:rPr>
        <w:tab/>
      </w:r>
    </w:p>
    <w:p w14:paraId="4482A0FA" w14:textId="6205A605"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 xml:space="preserve">3. Escenario de Apuesta (Deseable / Objetivo </w:t>
      </w:r>
      <w:proofErr w:type="spellStart"/>
      <w:r>
        <w:rPr>
          <w:rFonts w:ascii="Google Sans" w:eastAsia="Google Sans" w:hAnsi="Google Sans" w:cs="Google Sans"/>
          <w:b/>
          <w:bCs/>
          <w:color w:val="1F1F1F"/>
        </w:rPr>
        <w:t>Think</w:t>
      </w:r>
      <w:proofErr w:type="spellEnd"/>
      <w:r>
        <w:rPr>
          <w:rFonts w:ascii="Google Sans" w:eastAsia="Google Sans" w:hAnsi="Google Sans" w:cs="Google Sans"/>
          <w:b/>
          <w:bCs/>
          <w:color w:val="1F1F1F"/>
        </w:rPr>
        <w:t xml:space="preserve"> Tank):</w:t>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r w:rsidR="00281D70">
        <w:rPr>
          <w:rFonts w:ascii="Google Sans" w:eastAsia="Google Sans" w:hAnsi="Google Sans" w:cs="Google Sans"/>
          <w:b/>
          <w:bCs/>
          <w:color w:val="1F1F1F"/>
        </w:rPr>
        <w:tab/>
      </w:r>
    </w:p>
    <w:p w14:paraId="62666053" w14:textId="77777777" w:rsidR="009E39C3" w:rsidRDefault="00000000" w:rsidP="00281D70">
      <w:pPr>
        <w:numPr>
          <w:ilvl w:val="0"/>
          <w:numId w:val="10"/>
        </w:numPr>
        <w:pBdr>
          <w:top w:val="nil"/>
          <w:left w:val="nil"/>
          <w:bottom w:val="nil"/>
          <w:right w:val="nil"/>
          <w:between w:val="nil"/>
        </w:pBdr>
        <w:spacing w:line="275" w:lineRule="auto"/>
        <w:jc w:val="both"/>
      </w:pPr>
      <w:r>
        <w:rPr>
          <w:rFonts w:ascii="Google Sans" w:eastAsia="Google Sans" w:hAnsi="Google Sans" w:cs="Google Sans"/>
          <w:i/>
          <w:iCs/>
          <w:color w:val="1F1F1F"/>
        </w:rPr>
        <w:t>Dinámica:</w:t>
      </w:r>
      <w:r>
        <w:rPr>
          <w:rFonts w:ascii="Google Sans" w:eastAsia="Google Sans" w:hAnsi="Google Sans" w:cs="Google Sans"/>
          <w:color w:val="1F1F1F"/>
        </w:rPr>
        <w:t xml:space="preserve"> El Estado ejecuta un "Shock de Autoridad e Inteligencia" enfocado en la asfixia financiera. El Congreso deroga las prórrogas del REINFO y se impone un sistema de trazabilidad digital sobre el oro y explosivos.</w:t>
      </w:r>
    </w:p>
    <w:p w14:paraId="0C8A3143" w14:textId="77777777" w:rsidR="009E39C3" w:rsidRDefault="00000000" w:rsidP="00281D70">
      <w:pPr>
        <w:numPr>
          <w:ilvl w:val="0"/>
          <w:numId w:val="10"/>
        </w:numPr>
        <w:pBdr>
          <w:top w:val="nil"/>
          <w:left w:val="nil"/>
          <w:bottom w:val="nil"/>
          <w:right w:val="nil"/>
          <w:between w:val="nil"/>
        </w:pBdr>
        <w:spacing w:line="275" w:lineRule="auto"/>
        <w:jc w:val="both"/>
      </w:pPr>
      <w:r>
        <w:rPr>
          <w:rFonts w:ascii="Google Sans" w:eastAsia="Google Sans" w:hAnsi="Google Sans" w:cs="Google Sans"/>
          <w:i/>
          <w:iCs/>
          <w:color w:val="1F1F1F"/>
        </w:rPr>
        <w:t>Trigger:</w:t>
      </w:r>
      <w:r>
        <w:rPr>
          <w:rFonts w:ascii="Google Sans" w:eastAsia="Google Sans" w:hAnsi="Google Sans" w:cs="Google Sans"/>
          <w:color w:val="1F1F1F"/>
        </w:rPr>
        <w:t xml:space="preserve"> Creación de Comandos de Coordinación Operativa verdaderamente impermeables mediante estrictos controles de polígrafo y contrainteligencia a todo nivel.</w:t>
      </w:r>
    </w:p>
    <w:p w14:paraId="5786004B" w14:textId="77777777" w:rsidR="00281D70" w:rsidRPr="00281D70" w:rsidRDefault="00000000" w:rsidP="00281D70">
      <w:pPr>
        <w:numPr>
          <w:ilvl w:val="0"/>
          <w:numId w:val="10"/>
        </w:numPr>
        <w:pBdr>
          <w:top w:val="nil"/>
          <w:left w:val="nil"/>
          <w:bottom w:val="nil"/>
          <w:right w:val="nil"/>
          <w:between w:val="nil"/>
        </w:pBdr>
        <w:spacing w:line="275" w:lineRule="auto"/>
        <w:jc w:val="both"/>
      </w:pPr>
      <w:r>
        <w:rPr>
          <w:rFonts w:ascii="Google Sans" w:eastAsia="Google Sans" w:hAnsi="Google Sans" w:cs="Google Sans"/>
          <w:i/>
          <w:iCs/>
          <w:color w:val="1F1F1F"/>
        </w:rPr>
        <w:t>Impacto:</w:t>
      </w:r>
      <w:r>
        <w:rPr>
          <w:rFonts w:ascii="Google Sans" w:eastAsia="Google Sans" w:hAnsi="Google Sans" w:cs="Google Sans"/>
          <w:color w:val="1F1F1F"/>
        </w:rPr>
        <w:t xml:space="preserve"> Desarticulación de los flujos de capital criminal. Reducción medible del sicariato al asfixiar la capacidad de pago de las organizaciones, restablecimiento de la paz en el transporte público y recuperación de la soberanía en la triple frontera.</w:t>
      </w:r>
    </w:p>
    <w:p w14:paraId="2E78C142" w14:textId="77777777" w:rsidR="00281D70" w:rsidRDefault="00281D70" w:rsidP="00281D70">
      <w:pPr>
        <w:pBdr>
          <w:top w:val="nil"/>
          <w:left w:val="nil"/>
          <w:bottom w:val="nil"/>
          <w:right w:val="nil"/>
          <w:between w:val="nil"/>
        </w:pBdr>
        <w:spacing w:line="275" w:lineRule="auto"/>
        <w:ind w:left="590"/>
        <w:jc w:val="both"/>
        <w:rPr>
          <w:rFonts w:ascii="Google Sans" w:eastAsia="Google Sans" w:hAnsi="Google Sans" w:cs="Google Sans"/>
          <w:i/>
          <w:iCs/>
          <w:color w:val="1F1F1F"/>
        </w:rPr>
      </w:pPr>
    </w:p>
    <w:p w14:paraId="2C909A67" w14:textId="4AC624A6" w:rsidR="009E39C3" w:rsidRDefault="00281D70" w:rsidP="00281D70">
      <w:pPr>
        <w:pBdr>
          <w:top w:val="nil"/>
          <w:left w:val="nil"/>
          <w:bottom w:val="nil"/>
          <w:right w:val="nil"/>
          <w:between w:val="nil"/>
        </w:pBdr>
        <w:spacing w:line="275" w:lineRule="auto"/>
        <w:ind w:left="590"/>
        <w:jc w:val="both"/>
      </w:pPr>
      <w:r>
        <w:rPr>
          <w:rFonts w:ascii="Google Sans" w:eastAsia="Google Sans" w:hAnsi="Google Sans" w:cs="Google Sans"/>
          <w:color w:val="1F1F1F"/>
        </w:rPr>
        <w:tab/>
      </w:r>
      <w:r>
        <w:rPr>
          <w:rFonts w:ascii="Google Sans" w:eastAsia="Google Sans" w:hAnsi="Google Sans" w:cs="Google Sans"/>
          <w:color w:val="1F1F1F"/>
        </w:rPr>
        <w:tab/>
      </w:r>
      <w:r>
        <w:rPr>
          <w:rFonts w:ascii="Google Sans" w:eastAsia="Google Sans" w:hAnsi="Google Sans" w:cs="Google Sans"/>
          <w:color w:val="1F1F1F"/>
        </w:rPr>
        <w:tab/>
      </w:r>
      <w:r>
        <w:rPr>
          <w:rFonts w:ascii="Google Sans" w:eastAsia="Google Sans" w:hAnsi="Google Sans" w:cs="Google Sans"/>
          <w:color w:val="1F1F1F"/>
        </w:rPr>
        <w:tab/>
      </w:r>
    </w:p>
    <w:p w14:paraId="42802AB3" w14:textId="77777777" w:rsidR="009E39C3" w:rsidRDefault="00000000">
      <w:pPr>
        <w:pStyle w:val="Ttulo3"/>
        <w:spacing w:before="0" w:after="0" w:line="275" w:lineRule="auto"/>
        <w:rPr>
          <w:rFonts w:ascii="Google Sans" w:eastAsia="Google Sans" w:hAnsi="Google Sans" w:cs="Google Sans"/>
          <w:color w:val="1F1F1F"/>
        </w:rPr>
      </w:pPr>
      <w:r>
        <w:rPr>
          <w:rFonts w:ascii="Google Sans" w:eastAsia="Google Sans" w:hAnsi="Google Sans" w:cs="Google Sans"/>
          <w:color w:val="1F1F1F"/>
        </w:rPr>
        <w:t>V. CONCLUSIONES ESTRATÉGICAS</w:t>
      </w:r>
    </w:p>
    <w:p w14:paraId="722B93BA" w14:textId="77777777" w:rsidR="00281D70" w:rsidRPr="00281D70" w:rsidRDefault="00281D70" w:rsidP="00281D70"/>
    <w:p w14:paraId="49F2E13B" w14:textId="77777777" w:rsidR="009E39C3" w:rsidRDefault="00000000" w:rsidP="00281D70">
      <w:pPr>
        <w:numPr>
          <w:ilvl w:val="0"/>
          <w:numId w:val="11"/>
        </w:numPr>
        <w:pBdr>
          <w:top w:val="nil"/>
          <w:left w:val="nil"/>
          <w:bottom w:val="nil"/>
          <w:right w:val="nil"/>
          <w:between w:val="nil"/>
        </w:pBdr>
        <w:spacing w:line="275" w:lineRule="auto"/>
        <w:jc w:val="both"/>
      </w:pPr>
      <w:r>
        <w:rPr>
          <w:rFonts w:ascii="Google Sans" w:eastAsia="Google Sans" w:hAnsi="Google Sans" w:cs="Google Sans"/>
          <w:b/>
          <w:bCs/>
          <w:color w:val="1F1F1F"/>
        </w:rPr>
        <w:t>Suplantación Estatal y Riesgo de Legitimidad:</w:t>
      </w:r>
      <w:r>
        <w:rPr>
          <w:rFonts w:ascii="Google Sans" w:eastAsia="Google Sans" w:hAnsi="Google Sans" w:cs="Google Sans"/>
          <w:color w:val="1F1F1F"/>
        </w:rPr>
        <w:t xml:space="preserve"> El salto cualitativo en la violencia táctica, evidenciado por el uso de uniformes del GRECCO por parte de sicarios en Trujillo, constituye un ataque directo a la semiótica de la autoridad del Estado. Esto arriesga escalar hacia una desobediencia ciudadana frente a retenes legítimos.</w:t>
      </w:r>
    </w:p>
    <w:p w14:paraId="05B763DD" w14:textId="77777777" w:rsidR="009E39C3" w:rsidRDefault="00000000" w:rsidP="00281D70">
      <w:pPr>
        <w:numPr>
          <w:ilvl w:val="0"/>
          <w:numId w:val="11"/>
        </w:numPr>
        <w:pBdr>
          <w:top w:val="nil"/>
          <w:left w:val="nil"/>
          <w:bottom w:val="nil"/>
          <w:right w:val="nil"/>
          <w:between w:val="nil"/>
        </w:pBdr>
        <w:spacing w:line="275" w:lineRule="auto"/>
        <w:jc w:val="both"/>
      </w:pPr>
      <w:r>
        <w:rPr>
          <w:rFonts w:ascii="Google Sans" w:eastAsia="Google Sans" w:hAnsi="Google Sans" w:cs="Google Sans"/>
          <w:b/>
          <w:bCs/>
          <w:color w:val="1F1F1F"/>
        </w:rPr>
        <w:t>Desplazamiento de la Renta Criminal:</w:t>
      </w:r>
      <w:r>
        <w:rPr>
          <w:rFonts w:ascii="Google Sans" w:eastAsia="Google Sans" w:hAnsi="Google Sans" w:cs="Google Sans"/>
          <w:color w:val="1F1F1F"/>
        </w:rPr>
        <w:t xml:space="preserve"> La concentración de la interdicción militar en la fase extractiva de la Amazonía (Madre de Dios) está trasladando la violencia hacia los nodos urbanos comerciales y de blanqueo en la costa norte (Trujillo, Piura), donde los acopiadores son ahora blanco de secuestros extorsivos.</w:t>
      </w:r>
    </w:p>
    <w:p w14:paraId="677EB713" w14:textId="270E42A0" w:rsidR="009E39C3" w:rsidRDefault="00000000" w:rsidP="00281D70">
      <w:pPr>
        <w:numPr>
          <w:ilvl w:val="0"/>
          <w:numId w:val="11"/>
        </w:numPr>
        <w:pBdr>
          <w:top w:val="nil"/>
          <w:left w:val="nil"/>
          <w:bottom w:val="nil"/>
          <w:right w:val="nil"/>
          <w:between w:val="nil"/>
        </w:pBdr>
        <w:spacing w:line="275" w:lineRule="auto"/>
        <w:jc w:val="both"/>
      </w:pPr>
      <w:r>
        <w:rPr>
          <w:rFonts w:ascii="Google Sans" w:eastAsia="Google Sans" w:hAnsi="Google Sans" w:cs="Google Sans"/>
          <w:b/>
          <w:bCs/>
          <w:color w:val="1F1F1F"/>
        </w:rPr>
        <w:t>Límites de la Excepcionalidad:</w:t>
      </w:r>
      <w:r>
        <w:rPr>
          <w:rFonts w:ascii="Google Sans" w:eastAsia="Google Sans" w:hAnsi="Google Sans" w:cs="Google Sans"/>
          <w:color w:val="1F1F1F"/>
        </w:rPr>
        <w:t xml:space="preserve"> La estrategia gubernamental se ha vuelto dependiente de la declaración continua de Estados de Emergencia y de la participación de las Fuerzas Armadas en tareas de orden interno (incluyendo control de penales). Sin depuración interna (contrainteligencia), estas medidas corren el riesgo inminente de exponer a las fuerzas militares a la corrupción sistémica.</w:t>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p>
    <w:p w14:paraId="03425109" w14:textId="338F468F" w:rsidR="009E39C3" w:rsidRDefault="00000000">
      <w:pPr>
        <w:pStyle w:val="Ttulo3"/>
        <w:spacing w:before="0" w:after="0" w:line="275" w:lineRule="auto"/>
        <w:rPr>
          <w:rFonts w:ascii="Google Sans" w:eastAsia="Google Sans" w:hAnsi="Google Sans" w:cs="Google Sans"/>
          <w:color w:val="1F1F1F"/>
        </w:rPr>
      </w:pPr>
      <w:r>
        <w:rPr>
          <w:rFonts w:ascii="Google Sans" w:eastAsia="Google Sans" w:hAnsi="Google Sans" w:cs="Google Sans"/>
          <w:color w:val="1F1F1F"/>
        </w:rPr>
        <w:t>VI. RECOMENDACIONES DE POLÍTICA PÚBLICA Y GESTIÓN DE RIESGOS</w:t>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p>
    <w:p w14:paraId="222B86C9" w14:textId="1765CC5C"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Medidas de Corto Plazo (Shock Operativo):</w:t>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p>
    <w:p w14:paraId="7ADE8F8E" w14:textId="2E37FEDA" w:rsidR="009E39C3" w:rsidRDefault="00000000" w:rsidP="00B76105">
      <w:pPr>
        <w:numPr>
          <w:ilvl w:val="0"/>
          <w:numId w:val="12"/>
        </w:numPr>
        <w:pBdr>
          <w:top w:val="nil"/>
          <w:left w:val="nil"/>
          <w:bottom w:val="nil"/>
          <w:right w:val="nil"/>
          <w:between w:val="nil"/>
        </w:pBdr>
        <w:spacing w:line="275" w:lineRule="auto"/>
        <w:jc w:val="both"/>
      </w:pPr>
      <w:r>
        <w:rPr>
          <w:rFonts w:ascii="Google Sans" w:eastAsia="Google Sans" w:hAnsi="Google Sans" w:cs="Google Sans"/>
          <w:b/>
          <w:bCs/>
          <w:color w:val="1F1F1F"/>
        </w:rPr>
        <w:t>Filtros de Contrainteligencia:</w:t>
      </w:r>
      <w:r>
        <w:rPr>
          <w:rFonts w:ascii="Google Sans" w:eastAsia="Google Sans" w:hAnsi="Google Sans" w:cs="Google Sans"/>
          <w:color w:val="1F1F1F"/>
        </w:rPr>
        <w:t xml:space="preserve"> Implementar de carácter urgente y obligatorio pruebas de polígrafo, análisis patrimonial y barridos de contrainteligencia para todo el personal militar, policial y del INPE asignado a los controles perimétricos penitenciarios y fronterizos.</w:t>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r w:rsidR="00B76105">
        <w:rPr>
          <w:rFonts w:ascii="Google Sans" w:eastAsia="Google Sans" w:hAnsi="Google Sans" w:cs="Google Sans"/>
          <w:color w:val="1F1F1F"/>
        </w:rPr>
        <w:tab/>
      </w:r>
    </w:p>
    <w:p w14:paraId="5DC2320B" w14:textId="77777777" w:rsidR="00B76105" w:rsidRPr="00B76105" w:rsidRDefault="00000000" w:rsidP="00B76105">
      <w:pPr>
        <w:numPr>
          <w:ilvl w:val="0"/>
          <w:numId w:val="12"/>
        </w:numPr>
        <w:pBdr>
          <w:top w:val="nil"/>
          <w:left w:val="nil"/>
          <w:bottom w:val="nil"/>
          <w:right w:val="nil"/>
          <w:between w:val="nil"/>
        </w:pBdr>
        <w:spacing w:line="275" w:lineRule="auto"/>
        <w:jc w:val="both"/>
      </w:pPr>
      <w:r>
        <w:rPr>
          <w:rFonts w:ascii="Google Sans" w:eastAsia="Google Sans" w:hAnsi="Google Sans" w:cs="Google Sans"/>
          <w:b/>
          <w:bCs/>
          <w:color w:val="1F1F1F"/>
        </w:rPr>
        <w:t>Auditoría de Bloqueo Celular:</w:t>
      </w:r>
      <w:r>
        <w:rPr>
          <w:rFonts w:ascii="Google Sans" w:eastAsia="Google Sans" w:hAnsi="Google Sans" w:cs="Google Sans"/>
          <w:color w:val="1F1F1F"/>
        </w:rPr>
        <w:t xml:space="preserve"> Ejecutar supervisiones técnicas aleatorias in situ (conjuntas entre el INPE y el M</w:t>
      </w:r>
    </w:p>
    <w:p w14:paraId="473636D1" w14:textId="3538C3F4" w:rsidR="009E39C3" w:rsidRDefault="00000000" w:rsidP="00B76105">
      <w:pPr>
        <w:pBdr>
          <w:top w:val="nil"/>
          <w:left w:val="nil"/>
          <w:bottom w:val="nil"/>
          <w:right w:val="nil"/>
          <w:between w:val="nil"/>
        </w:pBdr>
        <w:spacing w:line="275" w:lineRule="auto"/>
        <w:ind w:left="590"/>
        <w:jc w:val="both"/>
      </w:pPr>
      <w:r>
        <w:rPr>
          <w:rFonts w:ascii="Google Sans" w:eastAsia="Google Sans" w:hAnsi="Google Sans" w:cs="Google Sans"/>
          <w:color w:val="1F1F1F"/>
        </w:rPr>
        <w:lastRenderedPageBreak/>
        <w:t>TC) para garantizar que los bloqueadores de señales radioeléctricas en penales no sean saboteados desde el interior.</w:t>
      </w:r>
    </w:p>
    <w:p w14:paraId="62CD8FF8" w14:textId="77777777" w:rsidR="00B76105" w:rsidRDefault="00B76105">
      <w:pPr>
        <w:pBdr>
          <w:top w:val="nil"/>
          <w:left w:val="nil"/>
          <w:bottom w:val="nil"/>
          <w:right w:val="nil"/>
          <w:between w:val="nil"/>
        </w:pBdr>
        <w:spacing w:line="275" w:lineRule="auto"/>
        <w:rPr>
          <w:rFonts w:ascii="Google Sans" w:eastAsia="Google Sans" w:hAnsi="Google Sans" w:cs="Google Sans"/>
          <w:b/>
          <w:bCs/>
          <w:color w:val="1F1F1F"/>
        </w:rPr>
      </w:pPr>
    </w:p>
    <w:p w14:paraId="05E1D010" w14:textId="311CBA34" w:rsidR="009E39C3" w:rsidRDefault="00000000">
      <w:pPr>
        <w:pBdr>
          <w:top w:val="nil"/>
          <w:left w:val="nil"/>
          <w:bottom w:val="nil"/>
          <w:right w:val="nil"/>
          <w:between w:val="nil"/>
        </w:pBdr>
        <w:spacing w:line="275" w:lineRule="auto"/>
        <w:rPr>
          <w:rFonts w:ascii="Google Sans" w:eastAsia="Google Sans" w:hAnsi="Google Sans" w:cs="Google Sans"/>
          <w:b/>
          <w:bCs/>
          <w:color w:val="1F1F1F"/>
        </w:rPr>
      </w:pPr>
      <w:r>
        <w:rPr>
          <w:rFonts w:ascii="Google Sans" w:eastAsia="Google Sans" w:hAnsi="Google Sans" w:cs="Google Sans"/>
          <w:b/>
          <w:bCs/>
          <w:color w:val="1F1F1F"/>
        </w:rPr>
        <w:t>Reformas Estructurales (Mediano y Largo Plazo):</w:t>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r w:rsidR="00B76105">
        <w:rPr>
          <w:rFonts w:ascii="Google Sans" w:eastAsia="Google Sans" w:hAnsi="Google Sans" w:cs="Google Sans"/>
          <w:b/>
          <w:bCs/>
          <w:color w:val="1F1F1F"/>
        </w:rPr>
        <w:tab/>
      </w:r>
    </w:p>
    <w:p w14:paraId="42F7AB03" w14:textId="7B20B233" w:rsidR="009E39C3" w:rsidRDefault="00000000" w:rsidP="00B76105">
      <w:pPr>
        <w:numPr>
          <w:ilvl w:val="0"/>
          <w:numId w:val="13"/>
        </w:numPr>
        <w:pBdr>
          <w:top w:val="nil"/>
          <w:left w:val="nil"/>
          <w:bottom w:val="nil"/>
          <w:right w:val="nil"/>
          <w:between w:val="nil"/>
        </w:pBdr>
        <w:spacing w:line="275" w:lineRule="auto"/>
        <w:jc w:val="both"/>
      </w:pPr>
      <w:r>
        <w:rPr>
          <w:rFonts w:ascii="Google Sans" w:eastAsia="Google Sans" w:hAnsi="Google Sans" w:cs="Google Sans"/>
          <w:b/>
          <w:bCs/>
          <w:color w:val="1F1F1F"/>
        </w:rPr>
        <w:t>Derogación y Trazabilidad (Asfixia Financiera):</w:t>
      </w:r>
      <w:r>
        <w:rPr>
          <w:rFonts w:ascii="Google Sans" w:eastAsia="Google Sans" w:hAnsi="Google Sans" w:cs="Google Sans"/>
          <w:color w:val="1F1F1F"/>
        </w:rPr>
        <w:t xml:space="preserve"> Modificar o derogar el REINFO</w:t>
      </w:r>
      <w:r w:rsidR="00B76105">
        <w:rPr>
          <w:rFonts w:ascii="Google Sans" w:eastAsia="Google Sans" w:hAnsi="Google Sans" w:cs="Google Sans"/>
          <w:color w:val="1F1F1F"/>
        </w:rPr>
        <w:t xml:space="preserve">, </w:t>
      </w:r>
      <w:r>
        <w:rPr>
          <w:rFonts w:ascii="Google Sans" w:eastAsia="Google Sans" w:hAnsi="Google Sans" w:cs="Google Sans"/>
          <w:color w:val="1F1F1F"/>
        </w:rPr>
        <w:t xml:space="preserve">reemplazándolo por un régimen de trazabilidad digital integral (tecnología </w:t>
      </w:r>
      <w:proofErr w:type="spellStart"/>
      <w:r>
        <w:rPr>
          <w:rFonts w:ascii="Google Sans" w:eastAsia="Google Sans" w:hAnsi="Google Sans" w:cs="Google Sans"/>
          <w:i/>
          <w:iCs/>
          <w:color w:val="1F1F1F"/>
        </w:rPr>
        <w:t>blockchain</w:t>
      </w:r>
      <w:proofErr w:type="spellEnd"/>
      <w:r>
        <w:rPr>
          <w:rFonts w:ascii="Google Sans" w:eastAsia="Google Sans" w:hAnsi="Google Sans" w:cs="Google Sans"/>
          <w:color w:val="1F1F1F"/>
        </w:rPr>
        <w:t xml:space="preserve"> o firmas de no repudio) que supervise toda la cadena de suministro del oro, mercurio y explosivos.</w:t>
      </w:r>
    </w:p>
    <w:p w14:paraId="32686A95" w14:textId="77777777" w:rsidR="009E39C3" w:rsidRDefault="00000000" w:rsidP="00B76105">
      <w:pPr>
        <w:numPr>
          <w:ilvl w:val="0"/>
          <w:numId w:val="13"/>
        </w:numPr>
        <w:pBdr>
          <w:top w:val="nil"/>
          <w:left w:val="nil"/>
          <w:bottom w:val="nil"/>
          <w:right w:val="nil"/>
          <w:between w:val="nil"/>
        </w:pBdr>
        <w:spacing w:line="275" w:lineRule="auto"/>
        <w:jc w:val="both"/>
      </w:pPr>
      <w:r>
        <w:rPr>
          <w:rFonts w:ascii="Google Sans" w:eastAsia="Google Sans" w:hAnsi="Google Sans" w:cs="Google Sans"/>
          <w:b/>
          <w:bCs/>
          <w:color w:val="1F1F1F"/>
        </w:rPr>
        <w:t>Comisión Técnica de Datos:</w:t>
      </w:r>
      <w:r>
        <w:rPr>
          <w:rFonts w:ascii="Google Sans" w:eastAsia="Google Sans" w:hAnsi="Google Sans" w:cs="Google Sans"/>
          <w:color w:val="1F1F1F"/>
        </w:rPr>
        <w:t xml:space="preserve"> Establecer un ente auditor independiente e interinstitucional que unifique, depure y transparente diariamente las cifras de homicidios cruzando datos del SINADEF, PNP y Ministerio Público, eliminando subregistros por "categorías ignoradas".</w:t>
      </w:r>
    </w:p>
    <w:p w14:paraId="6ACD9D75" w14:textId="77777777" w:rsidR="009E39C3" w:rsidRDefault="00000000" w:rsidP="00B76105">
      <w:pPr>
        <w:numPr>
          <w:ilvl w:val="0"/>
          <w:numId w:val="13"/>
        </w:numPr>
        <w:pBdr>
          <w:top w:val="nil"/>
          <w:left w:val="nil"/>
          <w:bottom w:val="nil"/>
          <w:right w:val="nil"/>
          <w:between w:val="nil"/>
        </w:pBdr>
        <w:spacing w:line="275" w:lineRule="auto"/>
        <w:jc w:val="both"/>
      </w:pPr>
      <w:r>
        <w:rPr>
          <w:rFonts w:ascii="Google Sans" w:eastAsia="Google Sans" w:hAnsi="Google Sans" w:cs="Google Sans"/>
          <w:b/>
          <w:bCs/>
          <w:color w:val="1F1F1F"/>
        </w:rPr>
        <w:t>Arquitectura de Cero Confianza (Ciberseguridad):</w:t>
      </w:r>
      <w:r>
        <w:rPr>
          <w:rFonts w:ascii="Google Sans" w:eastAsia="Google Sans" w:hAnsi="Google Sans" w:cs="Google Sans"/>
          <w:color w:val="1F1F1F"/>
        </w:rPr>
        <w:t xml:space="preserve"> Requerir a todas las entidades del Estado la migración hacia esquemas de validación de identidad </w:t>
      </w:r>
      <w:proofErr w:type="spellStart"/>
      <w:r>
        <w:rPr>
          <w:rFonts w:ascii="Google Sans" w:eastAsia="Google Sans" w:hAnsi="Google Sans" w:cs="Google Sans"/>
          <w:color w:val="1F1F1F"/>
        </w:rPr>
        <w:t>multibiométrica</w:t>
      </w:r>
      <w:proofErr w:type="spellEnd"/>
      <w:r>
        <w:rPr>
          <w:rFonts w:ascii="Google Sans" w:eastAsia="Google Sans" w:hAnsi="Google Sans" w:cs="Google Sans"/>
          <w:color w:val="1F1F1F"/>
        </w:rPr>
        <w:t xml:space="preserve"> y protocolos de "Cero Confianza" para bloquear el fraude interno y la exfiltración de bases de datos por ingeniería social.</w:t>
      </w:r>
    </w:p>
    <w:sectPr w:rsidR="009E39C3" w:rsidSect="00281D70">
      <w:pgSz w:w="12240" w:h="15840"/>
      <w:pgMar w:top="1134"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63DC3F5-7CA9-4F56-8193-6175AEAF9058}"/>
  </w:font>
  <w:font w:name="Google Sans">
    <w:charset w:val="00"/>
    <w:family w:val="auto"/>
    <w:pitch w:val="default"/>
    <w:embedRegular r:id="rId2" w:fontKey="{B5099E2D-DDBD-421B-8926-AAB373B88885}"/>
    <w:embedBold r:id="rId3" w:fontKey="{D6441827-5285-4080-AA2A-8D989E17753B}"/>
    <w:embedItalic r:id="rId4" w:fontKey="{A93A1C53-F3BD-4B5A-B0CF-D360F43D5BFF}"/>
  </w:font>
  <w:font w:name="Calibri">
    <w:panose1 w:val="020F0502020204030204"/>
    <w:charset w:val="00"/>
    <w:family w:val="swiss"/>
    <w:pitch w:val="variable"/>
    <w:sig w:usb0="E4002EFF" w:usb1="C200247B" w:usb2="00000009" w:usb3="00000000" w:csb0="000001FF" w:csb1="00000000"/>
    <w:embedRegular r:id="rId5" w:fontKey="{4DD769C5-DBB4-48B0-8BB7-257DDBDE1E8A}"/>
  </w:font>
  <w:font w:name="Cambria">
    <w:panose1 w:val="02040503050406030204"/>
    <w:charset w:val="00"/>
    <w:family w:val="roman"/>
    <w:pitch w:val="variable"/>
    <w:sig w:usb0="E00006FF" w:usb1="420024FF" w:usb2="02000000" w:usb3="00000000" w:csb0="0000019F" w:csb1="00000000"/>
    <w:embedRegular r:id="rId6" w:fontKey="{3A199478-0693-4B2C-AC90-180CBC59764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66F"/>
    <w:multiLevelType w:val="multilevel"/>
    <w:tmpl w:val="E802144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DBF7AAF"/>
    <w:multiLevelType w:val="multilevel"/>
    <w:tmpl w:val="A1D04752"/>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D112263"/>
    <w:multiLevelType w:val="multilevel"/>
    <w:tmpl w:val="E2D6D934"/>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AD950D9"/>
    <w:multiLevelType w:val="multilevel"/>
    <w:tmpl w:val="D646F66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3E9B0FB5"/>
    <w:multiLevelType w:val="multilevel"/>
    <w:tmpl w:val="8F6C88FA"/>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EE33CF7"/>
    <w:multiLevelType w:val="multilevel"/>
    <w:tmpl w:val="FB02FE32"/>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45AA579C"/>
    <w:multiLevelType w:val="multilevel"/>
    <w:tmpl w:val="7C54087E"/>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54806B71"/>
    <w:multiLevelType w:val="multilevel"/>
    <w:tmpl w:val="20E8C2BE"/>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54D834D9"/>
    <w:multiLevelType w:val="multilevel"/>
    <w:tmpl w:val="2820E0F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5BBB558B"/>
    <w:multiLevelType w:val="multilevel"/>
    <w:tmpl w:val="EC5E6630"/>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5EC4467A"/>
    <w:multiLevelType w:val="multilevel"/>
    <w:tmpl w:val="E0ACD7BE"/>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60002AB6"/>
    <w:multiLevelType w:val="multilevel"/>
    <w:tmpl w:val="67A0045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6C221EC1"/>
    <w:multiLevelType w:val="multilevel"/>
    <w:tmpl w:val="361C425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964337191">
    <w:abstractNumId w:val="1"/>
  </w:num>
  <w:num w:numId="2" w16cid:durableId="278726381">
    <w:abstractNumId w:val="0"/>
  </w:num>
  <w:num w:numId="3" w16cid:durableId="1459840867">
    <w:abstractNumId w:val="11"/>
  </w:num>
  <w:num w:numId="4" w16cid:durableId="228156977">
    <w:abstractNumId w:val="3"/>
  </w:num>
  <w:num w:numId="5" w16cid:durableId="200173615">
    <w:abstractNumId w:val="8"/>
  </w:num>
  <w:num w:numId="6" w16cid:durableId="1219779120">
    <w:abstractNumId w:val="6"/>
  </w:num>
  <w:num w:numId="7" w16cid:durableId="901599145">
    <w:abstractNumId w:val="12"/>
  </w:num>
  <w:num w:numId="8" w16cid:durableId="621765661">
    <w:abstractNumId w:val="10"/>
  </w:num>
  <w:num w:numId="9" w16cid:durableId="1266615230">
    <w:abstractNumId w:val="9"/>
  </w:num>
  <w:num w:numId="10" w16cid:durableId="317852066">
    <w:abstractNumId w:val="5"/>
  </w:num>
  <w:num w:numId="11" w16cid:durableId="985159098">
    <w:abstractNumId w:val="4"/>
  </w:num>
  <w:num w:numId="12" w16cid:durableId="1819036187">
    <w:abstractNumId w:val="2"/>
  </w:num>
  <w:num w:numId="13" w16cid:durableId="2268392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9C3"/>
    <w:rsid w:val="00130BC6"/>
    <w:rsid w:val="00174F7D"/>
    <w:rsid w:val="00281D70"/>
    <w:rsid w:val="003F758E"/>
    <w:rsid w:val="00474FC9"/>
    <w:rsid w:val="0058632C"/>
    <w:rsid w:val="009C27B7"/>
    <w:rsid w:val="009E39C3"/>
    <w:rsid w:val="00AE4686"/>
    <w:rsid w:val="00B76105"/>
    <w:rsid w:val="00FF4D5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3DC9"/>
  <w15:docId w15:val="{3F90374D-3BA3-44C0-BAE6-1F8FB0B1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PE" w:eastAsia="es-P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Ttulo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Ttulo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2074</Words>
  <Characters>11413</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jorge rodrigo salinas</cp:lastModifiedBy>
  <cp:revision>4</cp:revision>
  <dcterms:created xsi:type="dcterms:W3CDTF">2026-09-01T19:30:00Z</dcterms:created>
  <dcterms:modified xsi:type="dcterms:W3CDTF">2026-09-03T21:11:00Z</dcterms:modified>
</cp:coreProperties>
</file>